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87855">
      <w:pPr>
        <w:spacing w:before="200" w:after="400" w:line="360" w:lineRule="auto"/>
        <w:jc w:val="center"/>
      </w:pPr>
      <w:r>
        <w:rPr>
          <w:rFonts w:ascii="方正小标宋简体" w:hAnsi="方正小标宋简体" w:eastAsia="方正小标宋简体" w:cs="方正小标宋简体"/>
          <w:b/>
          <w:bCs/>
          <w:sz w:val="36"/>
          <w:szCs w:val="36"/>
        </w:rPr>
        <w:t>海南师范大学新闻传播与影视学院</w:t>
      </w:r>
    </w:p>
    <w:p w14:paraId="3760FA8B">
      <w:pPr>
        <w:spacing w:before="200" w:after="400" w:line="36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新大楼一楼报告厅LED显示屏建设</w:t>
      </w:r>
    </w:p>
    <w:p w14:paraId="765D5841">
      <w:pPr>
        <w:spacing w:before="200" w:after="400" w:line="360" w:lineRule="auto"/>
        <w:jc w:val="center"/>
      </w:pPr>
      <w:r>
        <w:rPr>
          <w:rFonts w:ascii="方正小标宋简体" w:hAnsi="方正小标宋简体" w:eastAsia="方正小标宋简体" w:cs="方正小标宋简体"/>
          <w:b/>
          <w:bCs/>
          <w:sz w:val="36"/>
          <w:szCs w:val="36"/>
        </w:rPr>
        <w:t>采购公告</w:t>
      </w:r>
    </w:p>
    <w:p w14:paraId="79306A56">
      <w:pPr>
        <w:spacing w:before="0" w:after="360" w:line="360" w:lineRule="auto"/>
        <w:jc w:val="center"/>
      </w:pPr>
    </w:p>
    <w:p w14:paraId="0806B137">
      <w:pPr>
        <w:pStyle w:val="3"/>
        <w:spacing w:before="280" w:after="160" w:line="360" w:lineRule="auto"/>
        <w:jc w:val="left"/>
      </w:pPr>
      <w:r>
        <w:rPr>
          <w:rFonts w:ascii="黑体" w:hAnsi="黑体" w:eastAsia="黑体" w:cs="黑体"/>
          <w:b/>
          <w:bCs/>
          <w:sz w:val="28"/>
          <w:szCs w:val="28"/>
        </w:rPr>
        <w:t>一、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项目基本情况</w:t>
      </w:r>
    </w:p>
    <w:p w14:paraId="54BBF63E">
      <w:pPr>
        <w:numPr>
          <w:ilvl w:val="0"/>
          <w:numId w:val="1"/>
        </w:numPr>
        <w:spacing w:before="0" w:after="120" w:line="360" w:lineRule="auto"/>
        <w:ind w:left="0" w:leftChars="0" w:firstLine="420" w:firstLineChars="0"/>
        <w:jc w:val="both"/>
      </w:pPr>
      <w:r>
        <w:rPr>
          <w:rFonts w:ascii="仿宋" w:hAnsi="仿宋" w:eastAsia="仿宋" w:cs="仿宋"/>
          <w:b w:val="0"/>
          <w:bCs w:val="0"/>
          <w:sz w:val="24"/>
          <w:szCs w:val="24"/>
        </w:rPr>
        <w:t>项目名称：海南师范大学新闻传播与影视学院</w:t>
      </w:r>
      <w:r>
        <w:rPr>
          <w:rFonts w:hint="eastAsia" w:cs="仿宋"/>
          <w:b w:val="0"/>
          <w:bCs w:val="0"/>
          <w:sz w:val="24"/>
          <w:szCs w:val="24"/>
          <w:lang w:val="en-US" w:eastAsia="zh-CN"/>
        </w:rPr>
        <w:t>新大楼一楼报告厅LED显示屏建设</w:t>
      </w:r>
      <w:r>
        <w:rPr>
          <w:rFonts w:ascii="仿宋" w:hAnsi="仿宋" w:eastAsia="仿宋" w:cs="仿宋"/>
          <w:b w:val="0"/>
          <w:bCs w:val="0"/>
          <w:sz w:val="24"/>
          <w:szCs w:val="24"/>
        </w:rPr>
        <w:t>采购。</w:t>
      </w:r>
    </w:p>
    <w:p w14:paraId="5130850F">
      <w:pPr>
        <w:numPr>
          <w:ilvl w:val="0"/>
          <w:numId w:val="1"/>
        </w:numPr>
        <w:spacing w:before="0" w:after="120" w:line="360" w:lineRule="auto"/>
        <w:ind w:left="0" w:leftChars="0" w:firstLine="420" w:firstLineChars="0"/>
        <w:jc w:val="both"/>
      </w:pPr>
      <w:r>
        <w:rPr>
          <w:rFonts w:ascii="仿宋" w:hAnsi="仿宋" w:eastAsia="仿宋" w:cs="仿宋"/>
          <w:b w:val="0"/>
          <w:bCs w:val="0"/>
          <w:sz w:val="24"/>
          <w:szCs w:val="24"/>
        </w:rPr>
        <w:t>采购单位：海南师范大学新闻传播与影视学院。</w:t>
      </w:r>
    </w:p>
    <w:p w14:paraId="4DAAACDA">
      <w:pPr>
        <w:numPr>
          <w:ilvl w:val="0"/>
          <w:numId w:val="1"/>
        </w:numPr>
        <w:spacing w:before="0" w:after="120" w:line="360" w:lineRule="auto"/>
        <w:ind w:left="0" w:leftChars="0" w:firstLine="420" w:firstLineChars="0"/>
        <w:jc w:val="both"/>
        <w:rPr>
          <w:rFonts w:ascii="仿宋" w:hAnsi="仿宋" w:eastAsia="仿宋" w:cs="仿宋"/>
          <w:b w:val="0"/>
          <w:bCs w:val="0"/>
          <w:sz w:val="24"/>
          <w:szCs w:val="24"/>
        </w:rPr>
      </w:pPr>
      <w:r>
        <w:rPr>
          <w:rFonts w:ascii="仿宋" w:hAnsi="仿宋" w:eastAsia="仿宋" w:cs="仿宋"/>
          <w:b w:val="0"/>
          <w:bCs w:val="0"/>
          <w:sz w:val="24"/>
          <w:szCs w:val="24"/>
        </w:rPr>
        <w:t>项目</w:t>
      </w:r>
      <w:r>
        <w:rPr>
          <w:rFonts w:hint="eastAsia" w:cs="仿宋"/>
          <w:b w:val="0"/>
          <w:bCs w:val="0"/>
          <w:sz w:val="24"/>
          <w:szCs w:val="24"/>
          <w:lang w:val="en-US" w:eastAsia="zh-CN"/>
        </w:rPr>
        <w:t>概况</w:t>
      </w:r>
      <w:r>
        <w:rPr>
          <w:rFonts w:ascii="仿宋" w:hAnsi="仿宋" w:eastAsia="仿宋" w:cs="仿宋"/>
          <w:b w:val="0"/>
          <w:bCs w:val="0"/>
          <w:sz w:val="24"/>
          <w:szCs w:val="24"/>
        </w:rPr>
        <w:t>：因学院发展需要，拟对</w:t>
      </w:r>
      <w:r>
        <w:rPr>
          <w:rFonts w:hint="eastAsia" w:cs="仿宋"/>
          <w:b w:val="0"/>
          <w:bCs w:val="0"/>
          <w:sz w:val="24"/>
          <w:szCs w:val="24"/>
          <w:lang w:val="en-US" w:eastAsia="zh-CN"/>
        </w:rPr>
        <w:t>新建新传大楼一楼报告厅增加LED显示屏建设，以满足报告厅日常使用需求；显示大屏长≥8米，高度≥4.48米，覆盖基建预留的大屏空间，大屏间距采用≤P1.87mm模组，配套</w:t>
      </w:r>
      <w:r>
        <w:rPr>
          <w:rFonts w:hint="eastAsia"/>
        </w:rPr>
        <w:t>二合一处理器</w:t>
      </w:r>
      <w:r>
        <w:rPr>
          <w:rFonts w:hint="eastAsia"/>
          <w:lang w:eastAsia="zh-CN"/>
        </w:rPr>
        <w:t>、</w:t>
      </w:r>
      <w:r>
        <w:rPr>
          <w:rFonts w:hint="eastAsia" w:cs="仿宋"/>
          <w:b w:val="0"/>
          <w:bCs w:val="0"/>
          <w:sz w:val="24"/>
          <w:szCs w:val="24"/>
          <w:lang w:val="en-US" w:eastAsia="zh-CN"/>
        </w:rPr>
        <w:t>接收卡、电源适配器、智能配电箱、钢结构架、配套电缆及综合布线线材等，并配套屏幕包边装饰，大屏</w:t>
      </w:r>
      <w:r>
        <w:rPr>
          <w:rFonts w:hint="eastAsia"/>
        </w:rPr>
        <w:t>质保期为自验收合格之日三年</w:t>
      </w:r>
      <w:r>
        <w:rPr>
          <w:rFonts w:hint="eastAsia" w:cs="仿宋"/>
          <w:b w:val="0"/>
          <w:bCs w:val="0"/>
          <w:sz w:val="24"/>
          <w:szCs w:val="24"/>
          <w:lang w:val="en-US" w:eastAsia="zh-CN"/>
        </w:rPr>
        <w:t>。</w:t>
      </w:r>
      <w:r>
        <w:rPr>
          <w:rFonts w:ascii="仿宋" w:hAnsi="仿宋" w:eastAsia="仿宋" w:cs="仿宋"/>
          <w:b w:val="0"/>
          <w:bCs w:val="0"/>
          <w:sz w:val="24"/>
          <w:szCs w:val="24"/>
        </w:rPr>
        <w:t>现面向社会公开遴选供应商。</w:t>
      </w:r>
    </w:p>
    <w:p w14:paraId="134A7150">
      <w:pPr>
        <w:numPr>
          <w:ilvl w:val="0"/>
          <w:numId w:val="1"/>
        </w:numPr>
        <w:spacing w:before="0" w:after="120" w:line="360" w:lineRule="auto"/>
        <w:ind w:left="0" w:leftChars="0" w:firstLine="420" w:firstLineChars="0"/>
        <w:jc w:val="both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cs="仿宋"/>
          <w:b w:val="0"/>
          <w:bCs w:val="0"/>
          <w:sz w:val="24"/>
          <w:szCs w:val="24"/>
          <w:lang w:val="en-US" w:eastAsia="zh-CN"/>
        </w:rPr>
        <w:t>采购方式：询价</w:t>
      </w:r>
    </w:p>
    <w:p w14:paraId="41869DD4">
      <w:pPr>
        <w:numPr>
          <w:ilvl w:val="0"/>
          <w:numId w:val="1"/>
        </w:numPr>
        <w:spacing w:before="0" w:after="120" w:line="360" w:lineRule="auto"/>
        <w:ind w:left="0" w:leftChars="0" w:firstLine="420" w:firstLineChars="0"/>
        <w:jc w:val="both"/>
        <w:rPr>
          <w:rFonts w:hint="default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cs="仿宋"/>
          <w:b w:val="0"/>
          <w:bCs w:val="0"/>
          <w:sz w:val="24"/>
          <w:szCs w:val="24"/>
          <w:highlight w:val="none"/>
          <w:lang w:val="en-US" w:eastAsia="zh-CN"/>
        </w:rPr>
        <w:t>预算金额：375000元</w:t>
      </w:r>
    </w:p>
    <w:p w14:paraId="0CD9E8A5">
      <w:pPr>
        <w:pStyle w:val="3"/>
        <w:spacing w:before="280" w:after="160" w:line="360" w:lineRule="auto"/>
        <w:jc w:val="left"/>
      </w:pPr>
      <w:r>
        <w:rPr>
          <w:rFonts w:ascii="黑体" w:hAnsi="黑体" w:eastAsia="黑体" w:cs="黑体"/>
          <w:b/>
          <w:bCs/>
          <w:sz w:val="28"/>
          <w:szCs w:val="28"/>
        </w:rPr>
        <w:t>二、采购需求</w:t>
      </w:r>
    </w:p>
    <w:p w14:paraId="618D57BC">
      <w:pPr>
        <w:spacing w:before="120" w:after="120" w:line="360" w:lineRule="auto"/>
        <w:jc w:val="both"/>
      </w:pPr>
      <w:r>
        <w:rPr>
          <w:rFonts w:ascii="仿宋" w:hAnsi="仿宋" w:eastAsia="仿宋" w:cs="仿宋"/>
          <w:b/>
          <w:bCs/>
          <w:sz w:val="24"/>
          <w:szCs w:val="24"/>
        </w:rPr>
        <w:t>（一）</w:t>
      </w:r>
      <w:r>
        <w:rPr>
          <w:rFonts w:hint="eastAsia" w:cs="仿宋"/>
          <w:b/>
          <w:bCs/>
          <w:sz w:val="24"/>
          <w:szCs w:val="24"/>
          <w:lang w:val="en-US" w:eastAsia="zh-CN"/>
        </w:rPr>
        <w:t>建设</w:t>
      </w:r>
      <w:r>
        <w:rPr>
          <w:rFonts w:ascii="仿宋" w:hAnsi="仿宋" w:eastAsia="仿宋" w:cs="仿宋"/>
          <w:b/>
          <w:bCs/>
          <w:sz w:val="24"/>
          <w:szCs w:val="24"/>
        </w:rPr>
        <w:t>内容</w:t>
      </w:r>
    </w:p>
    <w:tbl>
      <w:tblPr>
        <w:tblStyle w:val="12"/>
        <w:tblW w:w="100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21"/>
        <w:gridCol w:w="7785"/>
        <w:gridCol w:w="810"/>
      </w:tblGrid>
      <w:tr w14:paraId="57ABC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2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BA61C1">
            <w:pPr>
              <w:spacing w:before="0" w:after="0" w:line="300" w:lineRule="auto"/>
              <w:jc w:val="center"/>
            </w:pPr>
            <w:r>
              <w:rPr>
                <w:rFonts w:ascii="宋体" w:hAnsi="宋体" w:eastAsia="宋体" w:cs="宋体"/>
                <w:b/>
                <w:bCs/>
                <w:sz w:val="22"/>
                <w:szCs w:val="22"/>
              </w:rPr>
              <w:t>类别</w:t>
            </w:r>
          </w:p>
        </w:tc>
        <w:tc>
          <w:tcPr>
            <w:tcW w:w="778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970A01">
            <w:pPr>
              <w:spacing w:before="0" w:after="0" w:line="300" w:lineRule="auto"/>
              <w:jc w:val="center"/>
            </w:pPr>
            <w:r>
              <w:rPr>
                <w:rFonts w:ascii="宋体" w:hAnsi="宋体" w:eastAsia="宋体" w:cs="宋体"/>
                <w:b/>
                <w:bCs/>
                <w:sz w:val="22"/>
                <w:szCs w:val="22"/>
              </w:rPr>
              <w:t>主要内容</w:t>
            </w:r>
          </w:p>
        </w:tc>
        <w:tc>
          <w:tcPr>
            <w:tcW w:w="8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B9295C">
            <w:pPr>
              <w:spacing w:before="0" w:after="0" w:line="300" w:lineRule="auto"/>
              <w:jc w:val="center"/>
            </w:pPr>
            <w:r>
              <w:rPr>
                <w:rFonts w:ascii="宋体" w:hAnsi="宋体" w:eastAsia="宋体" w:cs="宋体"/>
                <w:b/>
                <w:bCs/>
                <w:sz w:val="22"/>
                <w:szCs w:val="22"/>
              </w:rPr>
              <w:t>备注</w:t>
            </w:r>
          </w:p>
        </w:tc>
      </w:tr>
      <w:tr w14:paraId="4DF44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2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0EF78C">
            <w:pPr>
              <w:spacing w:before="0" w:after="0" w:line="300" w:lineRule="auto"/>
              <w:jc w:val="both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LED显示屏（1套）</w:t>
            </w:r>
          </w:p>
        </w:tc>
        <w:tc>
          <w:tcPr>
            <w:tcW w:w="778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FB402C">
            <w:pPr>
              <w:spacing w:before="0" w:after="0" w:line="30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一、LED显示屏</w:t>
            </w:r>
          </w:p>
          <w:p w14:paraId="7ABA484F">
            <w:pPr>
              <w:spacing w:before="0" w:after="0" w:line="30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1、LED屏幕面积≥35.84m²；</w:t>
            </w:r>
          </w:p>
          <w:p w14:paraId="57F2B872">
            <w:pPr>
              <w:spacing w:before="0" w:after="0" w:line="30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2、点间距≤1.87mm；</w:t>
            </w:r>
          </w:p>
          <w:p w14:paraId="2947A33A">
            <w:pPr>
              <w:spacing w:before="0" w:after="0" w:line="300" w:lineRule="auto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、对比度≥15000:1；</w:t>
            </w:r>
          </w:p>
          <w:p w14:paraId="5F8B0EE6">
            <w:pPr>
              <w:spacing w:before="0" w:after="0" w:line="300" w:lineRule="auto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、刷新率≥3840Hz；</w:t>
            </w:r>
          </w:p>
          <w:p w14:paraId="7533A9E3">
            <w:pPr>
              <w:spacing w:before="0" w:after="0" w:line="300" w:lineRule="auto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 xml:space="preserve">、视角：垂直≥178度，水平≥178度（ </w:t>
            </w:r>
            <w:r>
              <w:rPr>
                <w:rFonts w:hint="eastAsia"/>
                <w:lang w:val="en-US" w:eastAsia="zh-CN"/>
              </w:rPr>
              <w:t>需</w:t>
            </w:r>
            <w:r>
              <w:rPr>
                <w:rFonts w:hint="eastAsia"/>
              </w:rPr>
              <w:t>提供国家认可的第三方检测机构出具的专业检测报告复印件 ）</w:t>
            </w:r>
          </w:p>
          <w:p w14:paraId="5528AD1A">
            <w:pPr>
              <w:spacing w:before="0" w:after="0" w:line="300" w:lineRule="auto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、PCB 采用 FR-4 四层板同等级或更高材料，表面</w:t>
            </w:r>
            <w:r>
              <w:rPr>
                <w:rFonts w:hint="eastAsia"/>
                <w:lang w:val="en-US" w:eastAsia="zh-CN"/>
              </w:rPr>
              <w:t>防氧化</w:t>
            </w:r>
            <w:r>
              <w:rPr>
                <w:rFonts w:hint="eastAsia"/>
              </w:rPr>
              <w:t>处理，板厚≥1.6mm，铜厚≥1 盎司，TG≥150，PCB 板表面具备防潮/防尘/防静电/抗氧化，防霉等级≤1 级。采用抗消隐设计，无“毛毛虫”“鬼影”跟随现象，模组与HUB板采用排线连接，无级联，可直接插拔和热插拔（</w:t>
            </w:r>
            <w:r>
              <w:rPr>
                <w:rFonts w:hint="eastAsia"/>
                <w:lang w:val="en-US" w:eastAsia="zh-CN"/>
              </w:rPr>
              <w:t>需</w:t>
            </w:r>
            <w:r>
              <w:rPr>
                <w:rFonts w:hint="eastAsia"/>
              </w:rPr>
              <w:t>提供国家认可的第三方检测机构出具的专业检测报告复印件 ）</w:t>
            </w:r>
          </w:p>
          <w:p w14:paraId="5E4D1E4B">
            <w:pPr>
              <w:spacing w:before="0" w:after="0" w:line="300" w:lineRule="auto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>、噪声声压</w:t>
            </w:r>
            <w:r>
              <w:rPr>
                <w:rFonts w:hint="eastAsia"/>
                <w:lang w:val="en-US" w:eastAsia="zh-CN"/>
              </w:rPr>
              <w:t>在</w:t>
            </w:r>
            <w:r>
              <w:rPr>
                <w:rFonts w:hint="eastAsia"/>
              </w:rPr>
              <w:t>屏前、屏后、屏左、屏右1m处≤6dB；</w:t>
            </w:r>
          </w:p>
          <w:p w14:paraId="4A8189AF">
            <w:pPr>
              <w:spacing w:before="0" w:after="0" w:line="300" w:lineRule="auto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 xml:space="preserve">、符合LED显示单元节能认证技术规范,具有智能节电和黑屏节电功能，节能模式节电40%以上；（ </w:t>
            </w:r>
            <w:r>
              <w:rPr>
                <w:rFonts w:hint="eastAsia"/>
                <w:lang w:val="en-US" w:eastAsia="zh-CN"/>
              </w:rPr>
              <w:t>需</w:t>
            </w:r>
            <w:r>
              <w:rPr>
                <w:rFonts w:hint="eastAsia"/>
              </w:rPr>
              <w:t>提供国家认可的第三方检测机构出具的专业检测报告复印件 ）</w:t>
            </w:r>
          </w:p>
          <w:p w14:paraId="59C22E4F">
            <w:pPr>
              <w:spacing w:before="0" w:after="0" w:line="300" w:lineRule="auto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、平均无故障工作时间≥100000小时，平均修复时间≤1分钟，支持7*24小时不间断工作；</w:t>
            </w:r>
          </w:p>
          <w:p w14:paraId="2F41BD10">
            <w:pPr>
              <w:spacing w:before="0" w:after="0" w:line="30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二、二合一处理器</w:t>
            </w:r>
          </w:p>
          <w:p w14:paraId="4B06CA94">
            <w:pPr>
              <w:spacing w:before="0" w:after="0" w:line="300" w:lineRule="auto"/>
              <w:jc w:val="left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</w:rPr>
              <w:t>1、采用标准 19 英寸金属结构机箱，机箱为后挂耳结构，上盖无螺钉安装</w:t>
            </w:r>
            <w:r>
              <w:rPr>
                <w:rFonts w:hint="eastAsia"/>
                <w:lang w:eastAsia="zh-CN"/>
              </w:rPr>
              <w:t>；</w:t>
            </w:r>
          </w:p>
          <w:p w14:paraId="1982F97C">
            <w:pPr>
              <w:spacing w:before="0" w:after="0" w:line="30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2、输入接口至少包含2路 HDMI2.0,1路 DP1.2+HDMI 2.0二选一,4路 HDMI1.3</w:t>
            </w:r>
            <w:r>
              <w:rPr>
                <w:rFonts w:hint="eastAsia"/>
                <w:lang w:eastAsia="zh-CN"/>
              </w:rPr>
              <w:t>；</w:t>
            </w:r>
            <w:r>
              <w:rPr>
                <w:rFonts w:hint="eastAsia"/>
              </w:rPr>
              <w:t>最大支持3路4096*2160@60HZ信号同时输入</w:t>
            </w:r>
            <w:r>
              <w:rPr>
                <w:rFonts w:hint="eastAsia"/>
                <w:lang w:eastAsia="zh-CN"/>
              </w:rPr>
              <w:t>；</w:t>
            </w:r>
          </w:p>
          <w:p w14:paraId="77633D83">
            <w:pPr>
              <w:spacing w:before="0" w:after="0" w:line="300" w:lineRule="auto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、音频输入支持视频口伴随音频输入及独立输入两种模式，音频输出支持网口扩展输出及3.5mm独立音频口输出；</w:t>
            </w:r>
          </w:p>
          <w:p w14:paraId="6D8012EE">
            <w:pPr>
              <w:spacing w:before="0" w:after="0" w:line="300" w:lineRule="auto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、支持智能遥控，可通过蓝牙遥控器对控制器进行快捷控制，包括但不限于大屏亮度、音量、信号源、场景、3D、U盘播放等功能，遥控距离不小于10米；</w:t>
            </w:r>
          </w:p>
          <w:p w14:paraId="18598C3E">
            <w:pPr>
              <w:spacing w:before="0" w:after="0" w:line="300" w:lineRule="auto"/>
              <w:jc w:val="left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</w:rPr>
              <w:t>三、接收卡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</w:rPr>
              <w:t>单卡带载分辨率 512×512@60Hz，最多支持24组并行数据；无需转接板，单卡自带HUB75接口，更加稳定</w:t>
            </w:r>
            <w:r>
              <w:rPr>
                <w:rFonts w:hint="eastAsia"/>
                <w:lang w:eastAsia="zh-CN"/>
              </w:rPr>
              <w:t>；</w:t>
            </w:r>
          </w:p>
          <w:p w14:paraId="3F708BFC">
            <w:pPr>
              <w:spacing w:before="0" w:after="0" w:line="30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四、电源适配器：输出电压：4.5V/5V/DC；输出电流：40A</w:t>
            </w:r>
          </w:p>
          <w:p w14:paraId="276A2598">
            <w:pPr>
              <w:spacing w:before="0" w:after="0" w:line="300" w:lineRule="auto"/>
              <w:jc w:val="left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</w:rPr>
              <w:t>五、智能配电柜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</w:rPr>
              <w:t>额定功率：≥30kW；控制方式：面板控制、电脑控制、电脑定时、中控控制</w:t>
            </w:r>
            <w:r>
              <w:rPr>
                <w:rFonts w:hint="eastAsia"/>
                <w:lang w:eastAsia="zh-CN"/>
              </w:rPr>
              <w:t>；</w:t>
            </w:r>
          </w:p>
          <w:p w14:paraId="6122839B">
            <w:pPr>
              <w:spacing w:before="0" w:after="0" w:line="30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六、传屏盒子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</w:rPr>
              <w:t>支持手机和电脑混合投屏展示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</w:rPr>
              <w:t>出厂标配传屏盒子≥1个，无线传屏器≥1个;</w:t>
            </w:r>
          </w:p>
          <w:p w14:paraId="587C2D7F">
            <w:pPr>
              <w:spacing w:before="0" w:after="0" w:line="30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七、户内单显示挂墙式结构，四周包边，前维护；</w:t>
            </w:r>
          </w:p>
          <w:p w14:paraId="0224F9B9">
            <w:pPr>
              <w:spacing w:before="0" w:after="0" w:line="30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八、定制服务，屏体安装、</w:t>
            </w:r>
            <w:r>
              <w:rPr>
                <w:rFonts w:hint="eastAsia"/>
                <w:lang w:val="en-US" w:eastAsia="zh-CN"/>
              </w:rPr>
              <w:t>单机</w:t>
            </w:r>
            <w:r>
              <w:rPr>
                <w:rFonts w:hint="eastAsia"/>
              </w:rPr>
              <w:t>调试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并实现与现有音视频系统连接调试及对接</w:t>
            </w:r>
            <w:r>
              <w:rPr>
                <w:rFonts w:hint="eastAsia"/>
              </w:rPr>
              <w:t>；</w:t>
            </w:r>
          </w:p>
          <w:p w14:paraId="559BB10A">
            <w:pPr>
              <w:spacing w:before="0" w:after="0" w:line="300" w:lineRule="auto"/>
              <w:jc w:val="left"/>
            </w:pPr>
            <w:r>
              <w:rPr>
                <w:rFonts w:hint="eastAsia"/>
              </w:rPr>
              <w:t>九、配套相关线缆及辅材：六类非屏蔽双绞线、RVV3*2.5、主干电源线、线管、线槽等；</w:t>
            </w:r>
          </w:p>
        </w:tc>
        <w:tc>
          <w:tcPr>
            <w:tcW w:w="8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F5AC80">
            <w:pPr>
              <w:spacing w:before="0" w:after="0" w:line="300" w:lineRule="auto"/>
              <w:jc w:val="left"/>
            </w:pPr>
          </w:p>
        </w:tc>
      </w:tr>
    </w:tbl>
    <w:p w14:paraId="436FB9FD">
      <w:pPr>
        <w:spacing w:before="0" w:after="120" w:line="360" w:lineRule="auto"/>
        <w:jc w:val="both"/>
      </w:pPr>
    </w:p>
    <w:p w14:paraId="6414B46D">
      <w:pPr>
        <w:spacing w:before="120" w:after="120" w:line="360" w:lineRule="auto"/>
        <w:jc w:val="both"/>
      </w:pPr>
      <w:r>
        <w:rPr>
          <w:rFonts w:ascii="仿宋" w:hAnsi="仿宋" w:eastAsia="仿宋" w:cs="仿宋"/>
          <w:b/>
          <w:bCs/>
          <w:sz w:val="24"/>
          <w:szCs w:val="24"/>
        </w:rPr>
        <w:t>（二）</w:t>
      </w:r>
      <w:r>
        <w:rPr>
          <w:rFonts w:hint="eastAsia" w:cs="仿宋"/>
          <w:b/>
          <w:bCs/>
          <w:sz w:val="24"/>
          <w:szCs w:val="24"/>
          <w:lang w:val="en-US" w:eastAsia="zh-CN"/>
        </w:rPr>
        <w:t>商务</w:t>
      </w:r>
      <w:r>
        <w:rPr>
          <w:rFonts w:ascii="仿宋" w:hAnsi="仿宋" w:eastAsia="仿宋" w:cs="仿宋"/>
          <w:b/>
          <w:bCs/>
          <w:sz w:val="24"/>
          <w:szCs w:val="24"/>
        </w:rPr>
        <w:t>要求</w:t>
      </w:r>
    </w:p>
    <w:p w14:paraId="71946664">
      <w:pPr>
        <w:pStyle w:val="17"/>
        <w:numPr>
          <w:ilvl w:val="0"/>
          <w:numId w:val="2"/>
        </w:numPr>
        <w:spacing w:before="0" w:after="100" w:line="360" w:lineRule="auto"/>
      </w:pPr>
      <w:r>
        <w:rPr>
          <w:rFonts w:hint="eastAsia" w:cs="仿宋"/>
          <w:sz w:val="24"/>
          <w:szCs w:val="24"/>
          <w:lang w:val="en-US" w:eastAsia="zh-CN"/>
        </w:rPr>
        <w:t>交付时间</w:t>
      </w:r>
      <w:r>
        <w:rPr>
          <w:rFonts w:ascii="仿宋" w:hAnsi="仿宋" w:eastAsia="仿宋" w:cs="仿宋"/>
          <w:sz w:val="24"/>
          <w:szCs w:val="24"/>
        </w:rPr>
        <w:t>：</w:t>
      </w:r>
      <w:r>
        <w:rPr>
          <w:rFonts w:hint="eastAsia" w:cs="仿宋"/>
          <w:sz w:val="24"/>
          <w:szCs w:val="24"/>
          <w:lang w:val="en-US" w:eastAsia="zh-CN"/>
        </w:rPr>
        <w:t>自</w:t>
      </w:r>
      <w:r>
        <w:rPr>
          <w:rFonts w:ascii="仿宋" w:hAnsi="仿宋" w:eastAsia="仿宋" w:cs="仿宋"/>
          <w:sz w:val="24"/>
          <w:szCs w:val="24"/>
        </w:rPr>
        <w:t>合同签订后</w:t>
      </w:r>
      <w:r>
        <w:rPr>
          <w:rFonts w:hint="eastAsia" w:cs="仿宋"/>
          <w:sz w:val="24"/>
          <w:szCs w:val="24"/>
          <w:u w:val="single"/>
          <w:lang w:val="en-US" w:eastAsia="zh-CN"/>
        </w:rPr>
        <w:t xml:space="preserve">  30  </w:t>
      </w:r>
      <w:r>
        <w:rPr>
          <w:rFonts w:ascii="仿宋" w:hAnsi="仿宋" w:eastAsia="仿宋" w:cs="仿宋"/>
          <w:sz w:val="24"/>
          <w:szCs w:val="24"/>
        </w:rPr>
        <w:t>个日历日内完成全部</w:t>
      </w:r>
      <w:r>
        <w:rPr>
          <w:rFonts w:hint="eastAsia" w:cs="仿宋"/>
          <w:sz w:val="24"/>
          <w:szCs w:val="24"/>
          <w:lang w:val="en-US" w:eastAsia="zh-CN"/>
        </w:rPr>
        <w:t>安装及调试</w:t>
      </w:r>
      <w:r>
        <w:rPr>
          <w:rFonts w:ascii="仿宋" w:hAnsi="仿宋" w:eastAsia="仿宋" w:cs="仿宋"/>
          <w:sz w:val="24"/>
          <w:szCs w:val="24"/>
        </w:rPr>
        <w:t>工作。</w:t>
      </w:r>
    </w:p>
    <w:p w14:paraId="2D9A7A0D">
      <w:pPr>
        <w:pStyle w:val="17"/>
        <w:numPr>
          <w:ilvl w:val="0"/>
          <w:numId w:val="2"/>
        </w:numPr>
        <w:spacing w:before="0" w:after="100" w:line="360" w:lineRule="auto"/>
      </w:pPr>
      <w:r>
        <w:rPr>
          <w:rFonts w:hint="eastAsia"/>
        </w:rPr>
        <w:t>质保要求：质保期为自验收合格之日起</w:t>
      </w:r>
      <w:r>
        <w:rPr>
          <w:rFonts w:hint="eastAsia"/>
          <w:lang w:val="en-US" w:eastAsia="zh-CN"/>
        </w:rPr>
        <w:t>三年。</w:t>
      </w:r>
    </w:p>
    <w:p w14:paraId="1749551A">
      <w:pPr>
        <w:pStyle w:val="17"/>
        <w:numPr>
          <w:ilvl w:val="0"/>
          <w:numId w:val="2"/>
        </w:numPr>
        <w:spacing w:before="0" w:after="100" w:line="360" w:lineRule="auto"/>
      </w:pPr>
      <w:r>
        <w:rPr>
          <w:rFonts w:hint="eastAsia" w:cs="仿宋"/>
          <w:sz w:val="24"/>
          <w:szCs w:val="24"/>
          <w:lang w:val="en-US" w:eastAsia="zh-CN"/>
        </w:rPr>
        <w:t>安装地点</w:t>
      </w:r>
      <w:r>
        <w:rPr>
          <w:rFonts w:ascii="仿宋" w:hAnsi="仿宋" w:eastAsia="仿宋" w:cs="仿宋"/>
          <w:sz w:val="24"/>
          <w:szCs w:val="24"/>
        </w:rPr>
        <w:t>：海南师范大学</w:t>
      </w:r>
      <w:r>
        <w:rPr>
          <w:rFonts w:hint="eastAsia" w:cs="仿宋"/>
          <w:sz w:val="24"/>
          <w:szCs w:val="24"/>
          <w:lang w:val="en-US" w:eastAsia="zh-CN"/>
        </w:rPr>
        <w:t>桂林洋</w:t>
      </w:r>
      <w:r>
        <w:rPr>
          <w:rFonts w:ascii="仿宋" w:hAnsi="仿宋" w:eastAsia="仿宋" w:cs="仿宋"/>
          <w:sz w:val="24"/>
          <w:szCs w:val="24"/>
        </w:rPr>
        <w:t>校区</w:t>
      </w:r>
      <w:r>
        <w:rPr>
          <w:rFonts w:hint="eastAsia" w:cs="仿宋"/>
          <w:sz w:val="24"/>
          <w:szCs w:val="24"/>
          <w:lang w:val="en-US" w:eastAsia="zh-CN"/>
        </w:rPr>
        <w:t>新闻传播与影视学院新大</w:t>
      </w:r>
      <w:r>
        <w:rPr>
          <w:rFonts w:ascii="仿宋" w:hAnsi="仿宋" w:eastAsia="仿宋" w:cs="仿宋"/>
          <w:sz w:val="24"/>
          <w:szCs w:val="24"/>
        </w:rPr>
        <w:t>楼</w:t>
      </w:r>
      <w:r>
        <w:rPr>
          <w:rFonts w:hint="eastAsia" w:cs="仿宋"/>
          <w:sz w:val="24"/>
          <w:szCs w:val="24"/>
          <w:lang w:val="en-US" w:eastAsia="zh-CN"/>
        </w:rPr>
        <w:t>一楼报告厅</w:t>
      </w:r>
      <w:r>
        <w:rPr>
          <w:rFonts w:ascii="仿宋" w:hAnsi="仿宋" w:eastAsia="仿宋" w:cs="仿宋"/>
          <w:sz w:val="24"/>
          <w:szCs w:val="24"/>
        </w:rPr>
        <w:t>。</w:t>
      </w:r>
    </w:p>
    <w:p w14:paraId="2C891C4E">
      <w:pPr>
        <w:pStyle w:val="17"/>
        <w:numPr>
          <w:ilvl w:val="0"/>
          <w:numId w:val="2"/>
        </w:numPr>
        <w:spacing w:before="0" w:after="100" w:line="360" w:lineRule="auto"/>
        <w:rPr>
          <w:rFonts w:hint="eastAsia" w:cs="仿宋"/>
          <w:sz w:val="24"/>
          <w:szCs w:val="24"/>
          <w:lang w:val="en-US" w:eastAsia="zh-CN"/>
        </w:rPr>
      </w:pPr>
      <w:r>
        <w:rPr>
          <w:rFonts w:hint="eastAsia" w:cs="仿宋"/>
          <w:sz w:val="24"/>
          <w:szCs w:val="24"/>
          <w:lang w:val="en-US" w:eastAsia="zh-CN"/>
        </w:rPr>
        <w:t>供货要求：</w:t>
      </w:r>
    </w:p>
    <w:p w14:paraId="1C20E8E6">
      <w:pPr>
        <w:pStyle w:val="17"/>
        <w:numPr>
          <w:ilvl w:val="0"/>
          <w:numId w:val="3"/>
        </w:numPr>
        <w:spacing w:before="0" w:after="100" w:line="360" w:lineRule="auto"/>
        <w:ind w:left="1145" w:leftChars="0" w:hanging="425" w:firstLineChars="0"/>
        <w:rPr>
          <w:rFonts w:hint="eastAsia" w:cs="仿宋"/>
          <w:sz w:val="24"/>
          <w:szCs w:val="24"/>
          <w:lang w:val="en-US" w:eastAsia="zh-CN"/>
        </w:rPr>
      </w:pPr>
      <w:r>
        <w:rPr>
          <w:rFonts w:hint="eastAsia" w:cs="仿宋"/>
          <w:sz w:val="24"/>
          <w:szCs w:val="24"/>
          <w:lang w:val="en-US" w:eastAsia="zh-CN"/>
        </w:rPr>
        <w:t xml:space="preserve">货物为原制造商制造的全新产品，无污染、无侵权行为、表面无划损、无任何缺陷隐患。 </w:t>
      </w:r>
    </w:p>
    <w:p w14:paraId="2A37D0FB">
      <w:pPr>
        <w:pStyle w:val="17"/>
        <w:numPr>
          <w:ilvl w:val="0"/>
          <w:numId w:val="3"/>
        </w:numPr>
        <w:spacing w:before="0" w:after="100" w:line="360" w:lineRule="auto"/>
        <w:ind w:left="1145" w:leftChars="0" w:hanging="425" w:firstLineChars="0"/>
        <w:rPr>
          <w:rFonts w:hint="eastAsia" w:cs="仿宋"/>
          <w:sz w:val="24"/>
          <w:szCs w:val="24"/>
          <w:lang w:val="en-US" w:eastAsia="zh-CN"/>
        </w:rPr>
      </w:pPr>
      <w:r>
        <w:rPr>
          <w:rFonts w:hint="eastAsia" w:cs="仿宋"/>
          <w:sz w:val="24"/>
          <w:szCs w:val="24"/>
          <w:lang w:val="en-US" w:eastAsia="zh-CN"/>
        </w:rPr>
        <w:t xml:space="preserve">交付验收标准依次序对照使用标准为：①符合中华人民共和国国家安全质量标准、环保标准或行业标准；②符合采购文件和响应承诺中配置、参数及各项要求； </w:t>
      </w:r>
    </w:p>
    <w:p w14:paraId="43636115">
      <w:pPr>
        <w:pStyle w:val="17"/>
        <w:numPr>
          <w:ilvl w:val="0"/>
          <w:numId w:val="3"/>
        </w:numPr>
        <w:spacing w:before="0" w:after="100" w:line="360" w:lineRule="auto"/>
        <w:ind w:left="1145" w:leftChars="0" w:hanging="425" w:firstLineChars="0"/>
        <w:rPr>
          <w:rFonts w:hint="eastAsia" w:cs="仿宋"/>
          <w:sz w:val="24"/>
          <w:szCs w:val="24"/>
          <w:lang w:val="en-US" w:eastAsia="zh-CN"/>
        </w:rPr>
      </w:pPr>
      <w:r>
        <w:rPr>
          <w:rFonts w:hint="eastAsia" w:cs="仿宋"/>
          <w:sz w:val="24"/>
          <w:szCs w:val="24"/>
          <w:lang w:val="en-US" w:eastAsia="zh-CN"/>
        </w:rPr>
        <w:t xml:space="preserve">货物为原厂商未启封全新包装，具出厂合格证。 </w:t>
      </w:r>
    </w:p>
    <w:p w14:paraId="6859980E">
      <w:pPr>
        <w:pStyle w:val="17"/>
        <w:numPr>
          <w:ilvl w:val="0"/>
          <w:numId w:val="2"/>
        </w:numPr>
        <w:spacing w:before="0" w:after="100" w:line="360" w:lineRule="auto"/>
        <w:rPr>
          <w:rFonts w:hint="default" w:cs="仿宋"/>
          <w:sz w:val="24"/>
          <w:szCs w:val="24"/>
          <w:lang w:val="en-US" w:eastAsia="zh-CN"/>
        </w:rPr>
      </w:pPr>
      <w:r>
        <w:rPr>
          <w:rFonts w:hint="eastAsia" w:cs="仿宋"/>
          <w:sz w:val="24"/>
          <w:szCs w:val="24"/>
          <w:lang w:val="en-US" w:eastAsia="zh-CN"/>
        </w:rPr>
        <w:t>付款方式：采购双方签订合同时另行约定</w:t>
      </w:r>
    </w:p>
    <w:p w14:paraId="26D42AC6">
      <w:pPr>
        <w:pStyle w:val="3"/>
        <w:spacing w:before="280" w:after="160" w:line="360" w:lineRule="auto"/>
        <w:jc w:val="left"/>
      </w:pPr>
      <w:r>
        <w:rPr>
          <w:rFonts w:ascii="黑体" w:hAnsi="黑体" w:eastAsia="黑体" w:cs="黑体"/>
          <w:b/>
          <w:bCs/>
          <w:sz w:val="28"/>
          <w:szCs w:val="28"/>
        </w:rPr>
        <w:t>三、供应商资格要求</w:t>
      </w:r>
    </w:p>
    <w:p w14:paraId="74C4D394">
      <w:pPr>
        <w:pStyle w:val="17"/>
        <w:numPr>
          <w:ilvl w:val="0"/>
          <w:numId w:val="4"/>
        </w:numPr>
        <w:spacing w:before="0" w:after="100" w:line="360" w:lineRule="auto"/>
      </w:pPr>
      <w:r>
        <w:rPr>
          <w:rFonts w:ascii="仿宋" w:hAnsi="仿宋" w:eastAsia="仿宋" w:cs="仿宋"/>
          <w:sz w:val="24"/>
          <w:szCs w:val="24"/>
        </w:rPr>
        <w:t>具有独立承担民事责任能力的法人或其他组织，提供有效的营业执照（复印件加盖公章）；</w:t>
      </w:r>
    </w:p>
    <w:p w14:paraId="1A323C92">
      <w:pPr>
        <w:pStyle w:val="17"/>
        <w:numPr>
          <w:ilvl w:val="0"/>
          <w:numId w:val="4"/>
        </w:numPr>
        <w:spacing w:before="0" w:after="100" w:line="360" w:lineRule="auto"/>
      </w:pPr>
      <w:r>
        <w:rPr>
          <w:rFonts w:ascii="仿宋" w:hAnsi="仿宋" w:eastAsia="仿宋" w:cs="仿宋"/>
          <w:sz w:val="24"/>
          <w:szCs w:val="24"/>
        </w:rPr>
        <w:t>具有良好的商业信誉和健全的财务会计制度</w:t>
      </w:r>
      <w:r>
        <w:rPr>
          <w:rFonts w:hint="eastAsia" w:cs="仿宋"/>
          <w:sz w:val="24"/>
          <w:szCs w:val="24"/>
          <w:lang w:eastAsia="zh-CN"/>
        </w:rPr>
        <w:t>（</w:t>
      </w:r>
      <w:r>
        <w:rPr>
          <w:rFonts w:hint="eastAsia" w:cs="仿宋"/>
          <w:sz w:val="24"/>
          <w:szCs w:val="24"/>
          <w:lang w:val="en-US" w:eastAsia="zh-CN"/>
        </w:rPr>
        <w:t>提供承诺函</w:t>
      </w:r>
      <w:r>
        <w:rPr>
          <w:rFonts w:ascii="仿宋_GB2312" w:hAnsi="仿宋_GB2312" w:eastAsia="仿宋_GB2312" w:cs="仿宋_GB2312"/>
        </w:rPr>
        <w:t>加盖公章</w:t>
      </w:r>
      <w:r>
        <w:rPr>
          <w:rFonts w:hint="eastAsia" w:cs="仿宋"/>
          <w:sz w:val="24"/>
          <w:szCs w:val="24"/>
          <w:lang w:val="en-US" w:eastAsia="zh-CN"/>
        </w:rPr>
        <w:t>）</w:t>
      </w:r>
      <w:r>
        <w:rPr>
          <w:rFonts w:ascii="仿宋" w:hAnsi="仿宋" w:eastAsia="仿宋" w:cs="仿宋"/>
          <w:sz w:val="24"/>
          <w:szCs w:val="24"/>
        </w:rPr>
        <w:t>；</w:t>
      </w:r>
    </w:p>
    <w:p w14:paraId="5CA06961">
      <w:pPr>
        <w:pStyle w:val="17"/>
        <w:numPr>
          <w:ilvl w:val="0"/>
          <w:numId w:val="4"/>
        </w:numPr>
        <w:spacing w:before="0" w:after="100" w:line="360" w:lineRule="auto"/>
      </w:pPr>
      <w:r>
        <w:rPr>
          <w:rFonts w:ascii="仿宋" w:hAnsi="仿宋" w:eastAsia="仿宋" w:cs="仿宋"/>
          <w:sz w:val="24"/>
          <w:szCs w:val="24"/>
        </w:rPr>
        <w:t>具有依法缴纳税收和社会保障资金的良好记录</w:t>
      </w:r>
      <w:r>
        <w:rPr>
          <w:rFonts w:hint="eastAsia" w:cs="仿宋"/>
          <w:sz w:val="24"/>
          <w:szCs w:val="24"/>
          <w:lang w:eastAsia="zh-CN"/>
        </w:rPr>
        <w:t>（</w:t>
      </w:r>
      <w:r>
        <w:rPr>
          <w:rFonts w:hint="eastAsia" w:cs="仿宋"/>
          <w:sz w:val="24"/>
          <w:szCs w:val="24"/>
          <w:lang w:val="en-US" w:eastAsia="zh-CN"/>
        </w:rPr>
        <w:t>提供承诺函</w:t>
      </w:r>
      <w:r>
        <w:rPr>
          <w:rFonts w:ascii="仿宋_GB2312" w:hAnsi="仿宋_GB2312" w:eastAsia="仿宋_GB2312" w:cs="仿宋_GB2312"/>
        </w:rPr>
        <w:t>加盖公章</w:t>
      </w:r>
      <w:r>
        <w:rPr>
          <w:rFonts w:hint="eastAsia" w:cs="仿宋"/>
          <w:sz w:val="24"/>
          <w:szCs w:val="24"/>
          <w:lang w:val="en-US" w:eastAsia="zh-CN"/>
        </w:rPr>
        <w:t>）</w:t>
      </w:r>
      <w:r>
        <w:rPr>
          <w:rFonts w:ascii="仿宋" w:hAnsi="仿宋" w:eastAsia="仿宋" w:cs="仿宋"/>
          <w:sz w:val="24"/>
          <w:szCs w:val="24"/>
        </w:rPr>
        <w:t>；</w:t>
      </w:r>
    </w:p>
    <w:p w14:paraId="32A78126">
      <w:pPr>
        <w:pStyle w:val="17"/>
        <w:numPr>
          <w:ilvl w:val="0"/>
          <w:numId w:val="4"/>
        </w:numPr>
        <w:spacing w:before="0" w:after="100" w:line="360" w:lineRule="auto"/>
      </w:pPr>
      <w:r>
        <w:rPr>
          <w:rFonts w:ascii="仿宋" w:hAnsi="仿宋" w:eastAsia="仿宋" w:cs="仿宋"/>
          <w:sz w:val="24"/>
          <w:szCs w:val="24"/>
        </w:rPr>
        <w:t>参加本次采购活动前三年内，在经营活动中没有重大违法记录</w:t>
      </w:r>
      <w:r>
        <w:rPr>
          <w:rFonts w:hint="eastAsia" w:cs="仿宋"/>
          <w:sz w:val="24"/>
          <w:szCs w:val="24"/>
          <w:lang w:eastAsia="zh-CN"/>
        </w:rPr>
        <w:t>（</w:t>
      </w:r>
      <w:r>
        <w:rPr>
          <w:rFonts w:hint="eastAsia" w:cs="仿宋"/>
          <w:sz w:val="24"/>
          <w:szCs w:val="24"/>
          <w:lang w:val="en-US" w:eastAsia="zh-CN"/>
        </w:rPr>
        <w:t>提供声明函</w:t>
      </w:r>
      <w:r>
        <w:rPr>
          <w:rFonts w:ascii="仿宋_GB2312" w:hAnsi="仿宋_GB2312" w:eastAsia="仿宋_GB2312" w:cs="仿宋_GB2312"/>
        </w:rPr>
        <w:t>加盖公章</w:t>
      </w:r>
      <w:r>
        <w:rPr>
          <w:rFonts w:hint="eastAsia" w:cs="仿宋"/>
          <w:sz w:val="24"/>
          <w:szCs w:val="24"/>
          <w:lang w:val="en-US" w:eastAsia="zh-CN"/>
        </w:rPr>
        <w:t>）</w:t>
      </w:r>
      <w:r>
        <w:rPr>
          <w:rFonts w:ascii="仿宋" w:hAnsi="仿宋" w:eastAsia="仿宋" w:cs="仿宋"/>
          <w:sz w:val="24"/>
          <w:szCs w:val="24"/>
        </w:rPr>
        <w:t>；</w:t>
      </w:r>
    </w:p>
    <w:p w14:paraId="07A76C8F">
      <w:pPr>
        <w:pStyle w:val="17"/>
        <w:numPr>
          <w:ilvl w:val="0"/>
          <w:numId w:val="4"/>
        </w:numPr>
        <w:spacing w:before="0" w:after="100" w:line="360" w:lineRule="auto"/>
      </w:pPr>
      <w:r>
        <w:rPr>
          <w:rFonts w:ascii="仿宋" w:hAnsi="仿宋" w:eastAsia="仿宋" w:cs="仿宋"/>
          <w:sz w:val="24"/>
          <w:szCs w:val="24"/>
        </w:rPr>
        <w:t>本项目不接受联合体投标。</w:t>
      </w:r>
    </w:p>
    <w:p w14:paraId="1E804D97">
      <w:pPr>
        <w:pStyle w:val="3"/>
        <w:spacing w:before="280" w:after="160" w:line="360" w:lineRule="auto"/>
        <w:jc w:val="left"/>
      </w:pPr>
      <w:r>
        <w:rPr>
          <w:rFonts w:ascii="黑体" w:hAnsi="黑体" w:eastAsia="黑体" w:cs="黑体"/>
          <w:b/>
          <w:bCs/>
          <w:sz w:val="28"/>
          <w:szCs w:val="28"/>
        </w:rPr>
        <w:t>四、评审办法</w:t>
      </w:r>
    </w:p>
    <w:p w14:paraId="2F53E31F">
      <w:pPr>
        <w:spacing w:before="0" w:after="120" w:line="360" w:lineRule="auto"/>
        <w:jc w:val="both"/>
      </w:pPr>
      <w:r>
        <w:rPr>
          <w:rFonts w:ascii="仿宋" w:hAnsi="仿宋" w:eastAsia="仿宋" w:cs="仿宋"/>
          <w:b w:val="0"/>
          <w:bCs w:val="0"/>
          <w:sz w:val="24"/>
          <w:szCs w:val="24"/>
        </w:rPr>
        <w:t>本项目采用最低评标价法进行评审，评审因素包括但不限于：</w:t>
      </w:r>
    </w:p>
    <w:p w14:paraId="13A3839E">
      <w:pPr>
        <w:spacing w:before="0" w:after="120" w:line="360" w:lineRule="auto"/>
        <w:jc w:val="both"/>
      </w:pPr>
      <w:r>
        <w:rPr>
          <w:rFonts w:ascii="仿宋" w:hAnsi="仿宋" w:eastAsia="仿宋" w:cs="仿宋"/>
          <w:b w:val="0"/>
          <w:bCs w:val="0"/>
          <w:sz w:val="24"/>
          <w:szCs w:val="24"/>
        </w:rPr>
        <w:t>（1）报价；</w:t>
      </w:r>
    </w:p>
    <w:p w14:paraId="647C77E0">
      <w:pPr>
        <w:spacing w:before="0" w:after="120" w:line="360" w:lineRule="auto"/>
        <w:jc w:val="both"/>
      </w:pPr>
      <w:r>
        <w:rPr>
          <w:rFonts w:ascii="仿宋" w:hAnsi="仿宋" w:eastAsia="仿宋" w:cs="仿宋"/>
          <w:b w:val="0"/>
          <w:bCs w:val="0"/>
          <w:sz w:val="24"/>
          <w:szCs w:val="24"/>
        </w:rPr>
        <w:t>（</w:t>
      </w:r>
      <w:r>
        <w:rPr>
          <w:rFonts w:hint="eastAsia" w:cs="仿宋"/>
          <w:b w:val="0"/>
          <w:bCs w:val="0"/>
          <w:sz w:val="24"/>
          <w:szCs w:val="24"/>
          <w:lang w:val="en-US" w:eastAsia="zh-CN"/>
        </w:rPr>
        <w:t>2</w:t>
      </w:r>
      <w:r>
        <w:rPr>
          <w:rFonts w:ascii="仿宋" w:hAnsi="仿宋" w:eastAsia="仿宋" w:cs="仿宋"/>
          <w:b w:val="0"/>
          <w:bCs w:val="0"/>
          <w:sz w:val="24"/>
          <w:szCs w:val="24"/>
        </w:rPr>
        <w:t>）售后服务承诺；</w:t>
      </w:r>
    </w:p>
    <w:p w14:paraId="4122F945">
      <w:pPr>
        <w:pStyle w:val="3"/>
        <w:spacing w:before="280" w:after="160" w:line="360" w:lineRule="auto"/>
        <w:jc w:val="left"/>
      </w:pPr>
      <w:r>
        <w:rPr>
          <w:rFonts w:ascii="黑体" w:hAnsi="黑体" w:eastAsia="黑体" w:cs="黑体"/>
          <w:b/>
          <w:bCs/>
          <w:sz w:val="28"/>
          <w:szCs w:val="28"/>
        </w:rPr>
        <w:t>五、报名及响应文件提交</w:t>
      </w:r>
    </w:p>
    <w:p w14:paraId="5A542F54">
      <w:pPr>
        <w:spacing w:before="120" w:after="120" w:line="360" w:lineRule="auto"/>
        <w:jc w:val="both"/>
        <w:rPr>
          <w:highlight w:val="none"/>
        </w:rPr>
      </w:pPr>
      <w:r>
        <w:rPr>
          <w:rFonts w:ascii="仿宋" w:hAnsi="仿宋" w:eastAsia="仿宋" w:cs="仿宋"/>
          <w:b/>
          <w:bCs/>
          <w:sz w:val="24"/>
          <w:szCs w:val="24"/>
        </w:rPr>
        <w:t>（一）报名</w:t>
      </w:r>
      <w:r>
        <w:rPr>
          <w:rFonts w:ascii="仿宋" w:hAnsi="仿宋" w:eastAsia="仿宋" w:cs="仿宋"/>
          <w:b/>
          <w:bCs/>
          <w:sz w:val="24"/>
          <w:szCs w:val="24"/>
          <w:highlight w:val="none"/>
        </w:rPr>
        <w:t>时间</w:t>
      </w:r>
    </w:p>
    <w:p w14:paraId="7EE0417C">
      <w:pPr>
        <w:spacing w:before="0" w:after="120" w:line="360" w:lineRule="auto"/>
        <w:jc w:val="both"/>
        <w:rPr>
          <w:highlight w:val="none"/>
        </w:rPr>
      </w:pPr>
      <w:r>
        <w:rPr>
          <w:rFonts w:ascii="仿宋" w:hAnsi="仿宋" w:eastAsia="仿宋" w:cs="仿宋"/>
          <w:b w:val="0"/>
          <w:bCs w:val="0"/>
          <w:sz w:val="24"/>
          <w:szCs w:val="24"/>
          <w:highlight w:val="none"/>
        </w:rPr>
        <w:t>自本公告发布之日起至</w:t>
      </w:r>
      <w:r>
        <w:rPr>
          <w:rFonts w:hint="eastAsia" w:cs="仿宋"/>
          <w:b w:val="0"/>
          <w:bCs w:val="0"/>
          <w:sz w:val="24"/>
          <w:szCs w:val="24"/>
          <w:highlight w:val="none"/>
          <w:lang w:val="en-US" w:eastAsia="zh-CN"/>
        </w:rPr>
        <w:t>2026</w:t>
      </w:r>
      <w:r>
        <w:rPr>
          <w:rFonts w:ascii="仿宋" w:hAnsi="仿宋" w:eastAsia="仿宋" w:cs="仿宋"/>
          <w:b w:val="0"/>
          <w:bCs w:val="0"/>
          <w:sz w:val="24"/>
          <w:szCs w:val="24"/>
          <w:highlight w:val="none"/>
        </w:rPr>
        <w:t>年</w:t>
      </w:r>
      <w:r>
        <w:rPr>
          <w:rFonts w:hint="eastAsia" w:cs="仿宋"/>
          <w:b w:val="0"/>
          <w:bCs w:val="0"/>
          <w:sz w:val="24"/>
          <w:szCs w:val="24"/>
          <w:highlight w:val="none"/>
          <w:lang w:val="en-US" w:eastAsia="zh-CN"/>
        </w:rPr>
        <w:t>10</w:t>
      </w:r>
      <w:r>
        <w:rPr>
          <w:rFonts w:ascii="仿宋" w:hAnsi="仿宋" w:eastAsia="仿宋" w:cs="仿宋"/>
          <w:b w:val="0"/>
          <w:bCs w:val="0"/>
          <w:sz w:val="24"/>
          <w:szCs w:val="24"/>
          <w:highlight w:val="none"/>
        </w:rPr>
        <w:t>月</w:t>
      </w:r>
      <w:r>
        <w:rPr>
          <w:rFonts w:hint="eastAsia" w:cs="仿宋"/>
          <w:b w:val="0"/>
          <w:bCs w:val="0"/>
          <w:sz w:val="24"/>
          <w:szCs w:val="24"/>
          <w:highlight w:val="none"/>
          <w:lang w:val="en-US" w:eastAsia="zh-CN"/>
        </w:rPr>
        <w:t>21</w:t>
      </w:r>
      <w:r>
        <w:rPr>
          <w:rFonts w:ascii="仿宋" w:hAnsi="仿宋" w:eastAsia="仿宋" w:cs="仿宋"/>
          <w:b w:val="0"/>
          <w:bCs w:val="0"/>
          <w:sz w:val="24"/>
          <w:szCs w:val="24"/>
          <w:highlight w:val="none"/>
        </w:rPr>
        <w:t>日。</w:t>
      </w:r>
    </w:p>
    <w:p w14:paraId="3EF198C4">
      <w:pPr>
        <w:spacing w:before="120" w:after="120" w:line="360" w:lineRule="auto"/>
        <w:jc w:val="both"/>
      </w:pPr>
      <w:r>
        <w:rPr>
          <w:rFonts w:ascii="仿宋" w:hAnsi="仿宋" w:eastAsia="仿宋" w:cs="仿宋"/>
          <w:b/>
          <w:bCs/>
          <w:sz w:val="24"/>
          <w:szCs w:val="24"/>
        </w:rPr>
        <w:t>（二）报名方式</w:t>
      </w:r>
    </w:p>
    <w:p w14:paraId="12C734E3">
      <w:pPr>
        <w:spacing w:before="0" w:after="120" w:line="360" w:lineRule="auto"/>
        <w:jc w:val="both"/>
      </w:pPr>
      <w:r>
        <w:rPr>
          <w:rFonts w:ascii="仿宋" w:hAnsi="仿宋" w:eastAsia="仿宋" w:cs="仿宋"/>
          <w:b w:val="0"/>
          <w:bCs w:val="0"/>
          <w:sz w:val="24"/>
          <w:szCs w:val="24"/>
        </w:rPr>
        <w:t>供应商可通过以下方式获取采购文件并报名：</w:t>
      </w:r>
    </w:p>
    <w:p w14:paraId="719E4231">
      <w:pPr>
        <w:spacing w:before="0" w:after="120" w:line="360" w:lineRule="auto"/>
        <w:jc w:val="both"/>
      </w:pPr>
      <w:r>
        <w:rPr>
          <w:rFonts w:ascii="仿宋" w:hAnsi="仿宋" w:eastAsia="仿宋" w:cs="仿宋"/>
          <w:b w:val="0"/>
          <w:bCs w:val="0"/>
          <w:sz w:val="24"/>
          <w:szCs w:val="24"/>
        </w:rPr>
        <w:t>1. 现场报名：携带营业执照复印件（加盖公章）、法定代表人授权委托书原件及被委托人身份证复印件，至海南师范大学新闻传播与影视学院办公室。</w:t>
      </w:r>
    </w:p>
    <w:p w14:paraId="2175B4B1">
      <w:pPr>
        <w:spacing w:before="0" w:after="120" w:line="360" w:lineRule="auto"/>
        <w:jc w:val="both"/>
      </w:pPr>
      <w:r>
        <w:rPr>
          <w:rFonts w:ascii="仿宋" w:hAnsi="仿宋" w:eastAsia="仿宋" w:cs="仿宋"/>
          <w:b w:val="0"/>
          <w:bCs w:val="0"/>
          <w:sz w:val="24"/>
          <w:szCs w:val="24"/>
        </w:rPr>
        <w:t>2. 线上报名：将上述材料扫描件发送至指定邮箱，邮件主题注明"</w:t>
      </w:r>
      <w:r>
        <w:rPr>
          <w:rFonts w:hint="eastAsia" w:cs="仿宋"/>
          <w:b w:val="0"/>
          <w:bCs w:val="0"/>
          <w:sz w:val="24"/>
          <w:szCs w:val="24"/>
          <w:lang w:val="en-US" w:eastAsia="zh-CN"/>
        </w:rPr>
        <w:t>项目名称</w:t>
      </w:r>
      <w:r>
        <w:rPr>
          <w:rFonts w:ascii="仿宋" w:hAnsi="仿宋" w:eastAsia="仿宋" w:cs="仿宋"/>
          <w:b w:val="0"/>
          <w:bCs w:val="0"/>
          <w:sz w:val="24"/>
          <w:szCs w:val="24"/>
        </w:rPr>
        <w:t>报名+公司名称"。</w:t>
      </w:r>
    </w:p>
    <w:p w14:paraId="42520A38">
      <w:pPr>
        <w:spacing w:before="120" w:after="120" w:line="360" w:lineRule="auto"/>
        <w:jc w:val="both"/>
      </w:pPr>
      <w:r>
        <w:rPr>
          <w:rFonts w:ascii="仿宋" w:hAnsi="仿宋" w:eastAsia="仿宋" w:cs="仿宋"/>
          <w:b/>
          <w:bCs/>
          <w:sz w:val="24"/>
          <w:szCs w:val="24"/>
        </w:rPr>
        <w:t>（三）响应文件提交</w:t>
      </w:r>
    </w:p>
    <w:p w14:paraId="289C8B71">
      <w:pPr>
        <w:spacing w:before="0" w:after="120" w:line="360" w:lineRule="auto"/>
        <w:jc w:val="both"/>
      </w:pPr>
      <w:r>
        <w:rPr>
          <w:rFonts w:ascii="仿宋" w:hAnsi="仿宋" w:eastAsia="仿宋" w:cs="仿宋"/>
          <w:b w:val="0"/>
          <w:bCs w:val="0"/>
          <w:sz w:val="24"/>
          <w:szCs w:val="24"/>
        </w:rPr>
        <w:t>提交截</w:t>
      </w:r>
      <w:r>
        <w:rPr>
          <w:rFonts w:ascii="仿宋" w:hAnsi="仿宋" w:eastAsia="仿宋" w:cs="仿宋"/>
          <w:b w:val="0"/>
          <w:bCs w:val="0"/>
          <w:sz w:val="24"/>
          <w:szCs w:val="24"/>
          <w:highlight w:val="none"/>
        </w:rPr>
        <w:t>止时间：</w:t>
      </w:r>
      <w:r>
        <w:rPr>
          <w:rFonts w:hint="eastAsia" w:cs="仿宋"/>
          <w:b w:val="0"/>
          <w:bCs w:val="0"/>
          <w:sz w:val="24"/>
          <w:szCs w:val="24"/>
          <w:highlight w:val="none"/>
          <w:lang w:val="en-US" w:eastAsia="zh-CN"/>
        </w:rPr>
        <w:t>2026</w:t>
      </w:r>
      <w:r>
        <w:rPr>
          <w:rFonts w:ascii="仿宋" w:hAnsi="仿宋" w:eastAsia="仿宋" w:cs="仿宋"/>
          <w:b w:val="0"/>
          <w:bCs w:val="0"/>
          <w:sz w:val="24"/>
          <w:szCs w:val="24"/>
          <w:highlight w:val="none"/>
        </w:rPr>
        <w:t>年</w:t>
      </w:r>
      <w:r>
        <w:rPr>
          <w:rFonts w:hint="eastAsia" w:cs="仿宋"/>
          <w:b w:val="0"/>
          <w:bCs w:val="0"/>
          <w:sz w:val="24"/>
          <w:szCs w:val="24"/>
          <w:highlight w:val="none"/>
          <w:lang w:val="en-US" w:eastAsia="zh-CN"/>
        </w:rPr>
        <w:t>10</w:t>
      </w:r>
      <w:r>
        <w:rPr>
          <w:rFonts w:ascii="仿宋" w:hAnsi="仿宋" w:eastAsia="仿宋" w:cs="仿宋"/>
          <w:b w:val="0"/>
          <w:bCs w:val="0"/>
          <w:sz w:val="24"/>
          <w:szCs w:val="24"/>
          <w:highlight w:val="none"/>
        </w:rPr>
        <w:t>月</w:t>
      </w:r>
      <w:r>
        <w:rPr>
          <w:rFonts w:hint="eastAsia" w:cs="仿宋"/>
          <w:b w:val="0"/>
          <w:bCs w:val="0"/>
          <w:sz w:val="24"/>
          <w:szCs w:val="24"/>
          <w:highlight w:val="none"/>
          <w:lang w:val="en-US" w:eastAsia="zh-CN"/>
        </w:rPr>
        <w:t>21</w:t>
      </w:r>
      <w:r>
        <w:rPr>
          <w:rFonts w:ascii="仿宋" w:hAnsi="仿宋" w:eastAsia="仿宋" w:cs="仿宋"/>
          <w:b w:val="0"/>
          <w:bCs w:val="0"/>
          <w:sz w:val="24"/>
          <w:szCs w:val="24"/>
          <w:highlight w:val="none"/>
        </w:rPr>
        <w:t>日</w:t>
      </w:r>
      <w:r>
        <w:rPr>
          <w:rFonts w:hint="eastAsia" w:cs="仿宋"/>
          <w:b w:val="0"/>
          <w:bCs w:val="0"/>
          <w:sz w:val="24"/>
          <w:szCs w:val="24"/>
          <w:highlight w:val="none"/>
          <w:lang w:val="en-US" w:eastAsia="zh-CN"/>
        </w:rPr>
        <w:t>18：00</w:t>
      </w:r>
      <w:r>
        <w:rPr>
          <w:rFonts w:ascii="仿宋" w:hAnsi="仿宋" w:eastAsia="仿宋" w:cs="仿宋"/>
          <w:b w:val="0"/>
          <w:bCs w:val="0"/>
          <w:sz w:val="24"/>
          <w:szCs w:val="24"/>
          <w:highlight w:val="none"/>
        </w:rPr>
        <w:t>时。</w:t>
      </w:r>
    </w:p>
    <w:p w14:paraId="2514D1CD">
      <w:pPr>
        <w:spacing w:before="0" w:after="120" w:line="360" w:lineRule="auto"/>
        <w:jc w:val="both"/>
      </w:pPr>
      <w:r>
        <w:rPr>
          <w:rFonts w:ascii="仿宋" w:hAnsi="仿宋" w:eastAsia="仿宋" w:cs="仿宋"/>
          <w:b w:val="0"/>
          <w:bCs w:val="0"/>
          <w:sz w:val="24"/>
          <w:szCs w:val="24"/>
        </w:rPr>
        <w:t>提交地点：海南师范大学新闻传播与影视学院办公室。</w:t>
      </w:r>
    </w:p>
    <w:p w14:paraId="32E7ECDE">
      <w:pPr>
        <w:spacing w:before="0" w:after="120" w:line="360" w:lineRule="auto"/>
        <w:jc w:val="both"/>
      </w:pPr>
      <w:r>
        <w:rPr>
          <w:rFonts w:ascii="仿宋" w:hAnsi="仿宋" w:eastAsia="仿宋" w:cs="仿宋"/>
          <w:b w:val="0"/>
          <w:bCs w:val="0"/>
          <w:sz w:val="24"/>
          <w:szCs w:val="24"/>
        </w:rPr>
        <w:t>逾期送达或未按要求密封的响应文件，恕不接受。</w:t>
      </w:r>
    </w:p>
    <w:p w14:paraId="3B1A69B3">
      <w:pPr>
        <w:pStyle w:val="3"/>
        <w:spacing w:before="280" w:after="160" w:line="360" w:lineRule="auto"/>
        <w:jc w:val="left"/>
      </w:pPr>
      <w:r>
        <w:rPr>
          <w:rFonts w:ascii="黑体" w:hAnsi="黑体" w:eastAsia="黑体" w:cs="黑体"/>
          <w:b/>
          <w:bCs/>
          <w:sz w:val="28"/>
          <w:szCs w:val="28"/>
        </w:rPr>
        <w:t>六、联系方式</w:t>
      </w:r>
    </w:p>
    <w:tbl>
      <w:tblPr>
        <w:tblStyle w:val="12"/>
        <w:tblW w:w="101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00"/>
        <w:gridCol w:w="7926"/>
      </w:tblGrid>
      <w:tr w14:paraId="55485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849C54">
            <w:pPr>
              <w:spacing w:before="0" w:after="0" w:line="300" w:lineRule="auto"/>
              <w:jc w:val="center"/>
            </w:pPr>
            <w:r>
              <w:rPr>
                <w:rFonts w:ascii="宋体" w:hAnsi="宋体" w:eastAsia="宋体" w:cs="宋体"/>
                <w:b/>
                <w:bCs/>
                <w:sz w:val="22"/>
                <w:szCs w:val="22"/>
              </w:rPr>
              <w:t>项目</w:t>
            </w:r>
          </w:p>
        </w:tc>
        <w:tc>
          <w:tcPr>
            <w:tcW w:w="79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8C2023">
            <w:pPr>
              <w:spacing w:before="0" w:after="0" w:line="300" w:lineRule="auto"/>
              <w:jc w:val="center"/>
            </w:pPr>
            <w:r>
              <w:rPr>
                <w:rFonts w:ascii="宋体" w:hAnsi="宋体" w:eastAsia="宋体" w:cs="宋体"/>
                <w:b/>
                <w:bCs/>
                <w:sz w:val="22"/>
                <w:szCs w:val="22"/>
              </w:rPr>
              <w:t>信息</w:t>
            </w:r>
          </w:p>
        </w:tc>
      </w:tr>
      <w:tr w14:paraId="69954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E367F4">
            <w:pPr>
              <w:spacing w:before="0" w:after="0" w:line="300" w:lineRule="auto"/>
              <w:jc w:val="center"/>
            </w:pPr>
            <w:r>
              <w:rPr>
                <w:rFonts w:ascii="仿宋" w:hAnsi="仿宋" w:eastAsia="仿宋" w:cs="仿宋"/>
                <w:sz w:val="22"/>
                <w:szCs w:val="22"/>
              </w:rPr>
              <w:t>采购单位</w:t>
            </w:r>
          </w:p>
        </w:tc>
        <w:tc>
          <w:tcPr>
            <w:tcW w:w="79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600E20">
            <w:pPr>
              <w:spacing w:before="0" w:after="0" w:line="300" w:lineRule="auto"/>
              <w:jc w:val="left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海南师范大学新闻传播与影视学院</w:t>
            </w:r>
          </w:p>
        </w:tc>
      </w:tr>
      <w:tr w14:paraId="4D9AF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8ABC63">
            <w:pPr>
              <w:spacing w:before="0" w:after="0" w:line="300" w:lineRule="auto"/>
              <w:jc w:val="center"/>
            </w:pPr>
            <w:r>
              <w:rPr>
                <w:rFonts w:ascii="仿宋" w:hAnsi="仿宋" w:eastAsia="仿宋" w:cs="仿宋"/>
                <w:sz w:val="22"/>
                <w:szCs w:val="22"/>
              </w:rPr>
              <w:t>联系人</w:t>
            </w:r>
          </w:p>
        </w:tc>
        <w:tc>
          <w:tcPr>
            <w:tcW w:w="79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A72E19">
            <w:pPr>
              <w:spacing w:before="0" w:after="0" w:line="300" w:lineRule="auto"/>
              <w:jc w:val="left"/>
              <w:rPr>
                <w:rFonts w:hint="default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陈老师</w:t>
            </w:r>
          </w:p>
        </w:tc>
      </w:tr>
      <w:tr w14:paraId="721A8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9DFC1F">
            <w:pPr>
              <w:spacing w:before="0" w:after="0" w:line="300" w:lineRule="auto"/>
              <w:jc w:val="center"/>
            </w:pPr>
            <w:r>
              <w:rPr>
                <w:rFonts w:ascii="仿宋" w:hAnsi="仿宋" w:eastAsia="仿宋" w:cs="仿宋"/>
                <w:sz w:val="22"/>
                <w:szCs w:val="22"/>
              </w:rPr>
              <w:t>联系电话</w:t>
            </w:r>
          </w:p>
        </w:tc>
        <w:tc>
          <w:tcPr>
            <w:tcW w:w="79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7D0A65">
            <w:pPr>
              <w:spacing w:before="0" w:after="0" w:line="300" w:lineRule="auto"/>
              <w:jc w:val="left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_</w:t>
            </w:r>
            <w:r>
              <w:rPr>
                <w:rFonts w:hint="eastAsia" w:cs="仿宋"/>
                <w:sz w:val="21"/>
                <w:szCs w:val="21"/>
                <w:lang w:val="en-US" w:eastAsia="zh-CN"/>
              </w:rPr>
              <w:t>089865676289，089865822319</w:t>
            </w:r>
            <w:r>
              <w:rPr>
                <w:rFonts w:ascii="仿宋" w:hAnsi="仿宋" w:eastAsia="仿宋" w:cs="仿宋"/>
                <w:sz w:val="21"/>
                <w:szCs w:val="21"/>
              </w:rPr>
              <w:t>___</w:t>
            </w:r>
          </w:p>
        </w:tc>
      </w:tr>
      <w:tr w14:paraId="68A2E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E9A70B">
            <w:pPr>
              <w:spacing w:before="0" w:after="0" w:line="300" w:lineRule="auto"/>
              <w:jc w:val="center"/>
            </w:pPr>
            <w:r>
              <w:rPr>
                <w:rFonts w:ascii="仿宋" w:hAnsi="仿宋" w:eastAsia="仿宋" w:cs="仿宋"/>
                <w:sz w:val="22"/>
                <w:szCs w:val="22"/>
              </w:rPr>
              <w:t>电子邮箱</w:t>
            </w:r>
          </w:p>
        </w:tc>
        <w:tc>
          <w:tcPr>
            <w:tcW w:w="79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5AD38E">
            <w:pPr>
              <w:spacing w:before="0" w:after="0" w:line="300" w:lineRule="auto"/>
              <w:jc w:val="left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fldChar w:fldCharType="begin"/>
            </w:r>
            <w:r>
              <w:rPr>
                <w:rFonts w:ascii="仿宋" w:hAnsi="仿宋" w:eastAsia="仿宋" w:cs="仿宋"/>
                <w:sz w:val="21"/>
                <w:szCs w:val="21"/>
              </w:rPr>
              <w:instrText xml:space="preserve"> HYPERLINK "mailto:_hsxcxzb@163.com" </w:instrText>
            </w:r>
            <w:r>
              <w:rPr>
                <w:rFonts w:ascii="仿宋" w:hAnsi="仿宋" w:eastAsia="仿宋" w:cs="仿宋"/>
                <w:sz w:val="21"/>
                <w:szCs w:val="21"/>
              </w:rPr>
              <w:fldChar w:fldCharType="separate"/>
            </w:r>
            <w:r>
              <w:rPr>
                <w:rStyle w:val="15"/>
                <w:rFonts w:hint="eastAsia" w:cs="仿宋"/>
                <w:sz w:val="21"/>
                <w:szCs w:val="21"/>
                <w:lang w:val="en-US" w:eastAsia="zh-CN"/>
              </w:rPr>
              <w:t>hsxcxzb@163.com</w:t>
            </w:r>
            <w:r>
              <w:rPr>
                <w:rFonts w:ascii="仿宋" w:hAnsi="仿宋" w:eastAsia="仿宋" w:cs="仿宋"/>
                <w:sz w:val="21"/>
                <w:szCs w:val="21"/>
              </w:rPr>
              <w:fldChar w:fldCharType="end"/>
            </w:r>
            <w:r>
              <w:rPr>
                <w:rFonts w:ascii="仿宋" w:hAnsi="仿宋" w:eastAsia="仿宋" w:cs="仿宋"/>
                <w:sz w:val="21"/>
                <w:szCs w:val="21"/>
              </w:rPr>
              <w:t>_____</w:t>
            </w:r>
          </w:p>
        </w:tc>
      </w:tr>
      <w:tr w14:paraId="715F4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749F14">
            <w:pPr>
              <w:spacing w:before="0" w:after="0" w:line="300" w:lineRule="auto"/>
              <w:jc w:val="center"/>
            </w:pPr>
            <w:r>
              <w:rPr>
                <w:rFonts w:ascii="仿宋" w:hAnsi="仿宋" w:eastAsia="仿宋" w:cs="仿宋"/>
                <w:sz w:val="22"/>
                <w:szCs w:val="22"/>
              </w:rPr>
              <w:t>办公地址</w:t>
            </w:r>
          </w:p>
        </w:tc>
        <w:tc>
          <w:tcPr>
            <w:tcW w:w="79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DA9D55">
            <w:pPr>
              <w:spacing w:before="0" w:after="0" w:line="300" w:lineRule="auto"/>
              <w:jc w:val="left"/>
              <w:rPr>
                <w:rFonts w:hint="default" w:eastAsia="仿宋"/>
                <w:sz w:val="21"/>
                <w:szCs w:val="21"/>
                <w:lang w:val="en-US" w:eastAsia="zh-CN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海南省海口市</w:t>
            </w:r>
            <w:r>
              <w:rPr>
                <w:rFonts w:hint="eastAsia" w:cs="仿宋"/>
                <w:sz w:val="21"/>
                <w:szCs w:val="21"/>
                <w:lang w:val="en-US" w:eastAsia="zh-CN"/>
              </w:rPr>
              <w:t>美兰</w:t>
            </w:r>
            <w:r>
              <w:rPr>
                <w:rFonts w:ascii="仿宋" w:hAnsi="仿宋" w:eastAsia="仿宋" w:cs="仿宋"/>
                <w:sz w:val="21"/>
                <w:szCs w:val="21"/>
              </w:rPr>
              <w:t>区 海南师范大学</w:t>
            </w:r>
            <w:r>
              <w:rPr>
                <w:rFonts w:hint="eastAsia" w:cs="仿宋"/>
                <w:sz w:val="21"/>
                <w:szCs w:val="21"/>
                <w:lang w:val="en-US" w:eastAsia="zh-CN"/>
              </w:rPr>
              <w:t>新闻传播与影视学院</w:t>
            </w:r>
          </w:p>
        </w:tc>
      </w:tr>
      <w:tr w14:paraId="6BB6E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C0A07D">
            <w:pPr>
              <w:spacing w:before="0" w:after="0" w:line="300" w:lineRule="auto"/>
              <w:jc w:val="center"/>
            </w:pPr>
            <w:r>
              <w:rPr>
                <w:rFonts w:ascii="仿宋" w:hAnsi="仿宋" w:eastAsia="仿宋" w:cs="仿宋"/>
                <w:sz w:val="22"/>
                <w:szCs w:val="22"/>
              </w:rPr>
              <w:t>邮政编码</w:t>
            </w:r>
          </w:p>
        </w:tc>
        <w:tc>
          <w:tcPr>
            <w:tcW w:w="79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18D3A1">
            <w:pPr>
              <w:spacing w:before="0" w:after="0" w:line="300" w:lineRule="auto"/>
              <w:jc w:val="left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571158</w:t>
            </w:r>
          </w:p>
        </w:tc>
      </w:tr>
    </w:tbl>
    <w:p w14:paraId="70800BC8">
      <w:pPr>
        <w:spacing w:before="0" w:after="120" w:line="360" w:lineRule="auto"/>
        <w:jc w:val="both"/>
      </w:pPr>
    </w:p>
    <w:p w14:paraId="04CF0604">
      <w:pPr>
        <w:pStyle w:val="3"/>
        <w:spacing w:before="280" w:after="160" w:line="360" w:lineRule="auto"/>
        <w:jc w:val="left"/>
      </w:pPr>
      <w:r>
        <w:rPr>
          <w:rFonts w:ascii="黑体" w:hAnsi="黑体" w:eastAsia="黑体" w:cs="黑体"/>
          <w:b/>
          <w:bCs/>
          <w:sz w:val="28"/>
          <w:szCs w:val="28"/>
        </w:rPr>
        <w:t>七、其他事项</w:t>
      </w:r>
    </w:p>
    <w:p w14:paraId="6F9498A0">
      <w:pPr>
        <w:pStyle w:val="17"/>
        <w:numPr>
          <w:ilvl w:val="0"/>
          <w:numId w:val="5"/>
        </w:numPr>
        <w:spacing w:before="0" w:after="100" w:line="360" w:lineRule="auto"/>
      </w:pPr>
      <w:r>
        <w:rPr>
          <w:rFonts w:ascii="仿宋" w:hAnsi="仿宋" w:eastAsia="仿宋" w:cs="仿宋"/>
          <w:sz w:val="24"/>
          <w:szCs w:val="24"/>
        </w:rPr>
        <w:t>本公告在海南师范大学新闻传播与影视学院官方网站发布，公告期限为</w:t>
      </w:r>
      <w:r>
        <w:rPr>
          <w:rFonts w:hint="eastAsia" w:cs="仿宋"/>
          <w:sz w:val="24"/>
          <w:szCs w:val="24"/>
          <w:lang w:val="en-US" w:eastAsia="zh-CN"/>
        </w:rPr>
        <w:t>3</w:t>
      </w:r>
      <w:r>
        <w:rPr>
          <w:rFonts w:ascii="仿宋" w:hAnsi="仿宋" w:eastAsia="仿宋" w:cs="仿宋"/>
          <w:sz w:val="24"/>
          <w:szCs w:val="24"/>
        </w:rPr>
        <w:t>个工作日。</w:t>
      </w:r>
    </w:p>
    <w:p w14:paraId="7E458180">
      <w:pPr>
        <w:pStyle w:val="17"/>
        <w:numPr>
          <w:ilvl w:val="0"/>
          <w:numId w:val="5"/>
        </w:numPr>
        <w:spacing w:before="0" w:after="100" w:line="360" w:lineRule="auto"/>
      </w:pPr>
      <w:r>
        <w:rPr>
          <w:rFonts w:ascii="仿宋" w:hAnsi="仿宋" w:eastAsia="仿宋" w:cs="仿宋"/>
          <w:sz w:val="24"/>
          <w:szCs w:val="24"/>
        </w:rPr>
        <w:t>供应商对本次采购事项如有疑问，可在报名截止前以书面形式向采购单位提出，采购单位将以书面形式统一答复。</w:t>
      </w:r>
    </w:p>
    <w:p w14:paraId="7BBB8947">
      <w:pPr>
        <w:pStyle w:val="17"/>
        <w:numPr>
          <w:ilvl w:val="0"/>
          <w:numId w:val="5"/>
        </w:numPr>
        <w:spacing w:before="0" w:after="100" w:line="360" w:lineRule="auto"/>
      </w:pPr>
      <w:r>
        <w:rPr>
          <w:rFonts w:ascii="仿宋" w:hAnsi="仿宋" w:eastAsia="仿宋" w:cs="仿宋"/>
          <w:sz w:val="24"/>
          <w:szCs w:val="24"/>
        </w:rPr>
        <w:t>本项目最终解释权归海南师范大学新闻传播与影视学院所有。</w:t>
      </w:r>
    </w:p>
    <w:p w14:paraId="3AE03077">
      <w:pPr>
        <w:spacing w:before="0" w:after="120" w:line="360" w:lineRule="auto"/>
        <w:jc w:val="both"/>
      </w:pPr>
    </w:p>
    <w:p w14:paraId="1D14A06A">
      <w:pPr>
        <w:spacing w:before="400" w:after="80" w:line="360" w:lineRule="auto"/>
        <w:jc w:val="right"/>
      </w:pPr>
      <w:r>
        <w:rPr>
          <w:rFonts w:ascii="仿宋" w:hAnsi="仿宋" w:eastAsia="仿宋" w:cs="仿宋"/>
          <w:b/>
          <w:bCs/>
          <w:sz w:val="24"/>
          <w:szCs w:val="24"/>
        </w:rPr>
        <w:t>海南师范大学新闻传播与影视学院</w:t>
      </w:r>
    </w:p>
    <w:p w14:paraId="42FA3A9C">
      <w:pPr>
        <w:spacing w:before="0" w:after="80" w:line="360" w:lineRule="auto"/>
        <w:jc w:val="right"/>
        <w:rPr>
          <w:highlight w:val="none"/>
        </w:rPr>
      </w:pPr>
      <w:bookmarkStart w:id="0" w:name="_GoBack"/>
      <w:r>
        <w:rPr>
          <w:rFonts w:hint="eastAsia" w:cs="仿宋"/>
          <w:sz w:val="24"/>
          <w:szCs w:val="24"/>
          <w:highlight w:val="none"/>
          <w:lang w:val="en-US" w:eastAsia="zh-CN"/>
        </w:rPr>
        <w:t>2026</w:t>
      </w:r>
      <w:r>
        <w:rPr>
          <w:rFonts w:ascii="仿宋" w:hAnsi="仿宋" w:eastAsia="仿宋" w:cs="仿宋"/>
          <w:sz w:val="24"/>
          <w:szCs w:val="24"/>
          <w:highlight w:val="none"/>
        </w:rPr>
        <w:t>年</w:t>
      </w:r>
      <w:r>
        <w:rPr>
          <w:rFonts w:hint="eastAsia" w:cs="仿宋"/>
          <w:sz w:val="24"/>
          <w:szCs w:val="24"/>
          <w:highlight w:val="none"/>
          <w:lang w:val="en-US" w:eastAsia="zh-CN"/>
        </w:rPr>
        <w:t xml:space="preserve"> 10 </w:t>
      </w:r>
      <w:r>
        <w:rPr>
          <w:rFonts w:ascii="仿宋" w:hAnsi="仿宋" w:eastAsia="仿宋" w:cs="仿宋"/>
          <w:sz w:val="24"/>
          <w:szCs w:val="24"/>
          <w:highlight w:val="none"/>
        </w:rPr>
        <w:t>月</w:t>
      </w:r>
      <w:r>
        <w:rPr>
          <w:rFonts w:hint="eastAsia" w:cs="仿宋"/>
          <w:sz w:val="24"/>
          <w:szCs w:val="24"/>
          <w:highlight w:val="none"/>
          <w:lang w:val="en-US" w:eastAsia="zh-CN"/>
        </w:rPr>
        <w:t>19</w:t>
      </w:r>
      <w:r>
        <w:rPr>
          <w:rFonts w:ascii="仿宋" w:hAnsi="仿宋" w:eastAsia="仿宋" w:cs="仿宋"/>
          <w:sz w:val="24"/>
          <w:szCs w:val="24"/>
          <w:highlight w:val="none"/>
        </w:rPr>
        <w:t>日</w:t>
      </w:r>
    </w:p>
    <w:bookmarkEnd w:id="0"/>
    <w:sectPr>
      <w:footerReference r:id="rId3" w:type="default"/>
      <w:pgSz w:w="11906" w:h="16838"/>
      <w:pgMar w:top="1134" w:right="1134" w:bottom="1134" w:left="1134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3C07B9">
    <w:pPr>
      <w:jc w:val="center"/>
    </w:pPr>
    <w:r>
      <w:rPr>
        <w:rFonts w:ascii="仿宋" w:hAnsi="仿宋" w:eastAsia="仿宋" w:cs="仿宋"/>
        <w:sz w:val="18"/>
        <w:szCs w:val="18"/>
      </w:rPr>
      <w:t xml:space="preserve">第 </w:t>
    </w:r>
    <w:r>
      <w:rPr>
        <w:rFonts w:ascii="仿宋" w:hAnsi="仿宋" w:eastAsia="仿宋" w:cs="仿宋"/>
        <w:sz w:val="18"/>
        <w:szCs w:val="18"/>
      </w:rPr>
      <w:fldChar w:fldCharType="begin"/>
    </w:r>
    <w:r>
      <w:rPr>
        <w:rFonts w:ascii="仿宋" w:hAnsi="仿宋" w:eastAsia="仿宋" w:cs="仿宋"/>
        <w:sz w:val="18"/>
        <w:szCs w:val="18"/>
      </w:rPr>
      <w:instrText xml:space="preserve">PAGE</w:instrText>
    </w:r>
    <w:r>
      <w:rPr>
        <w:rFonts w:ascii="仿宋" w:hAnsi="仿宋" w:eastAsia="仿宋" w:cs="仿宋"/>
        <w:sz w:val="18"/>
        <w:szCs w:val="18"/>
      </w:rPr>
      <w:fldChar w:fldCharType="separate"/>
    </w:r>
    <w:r>
      <w:rPr>
        <w:rFonts w:ascii="仿宋" w:hAnsi="仿宋" w:eastAsia="仿宋" w:cs="仿宋"/>
        <w:sz w:val="18"/>
        <w:szCs w:val="18"/>
      </w:rPr>
      <w:fldChar w:fldCharType="end"/>
    </w:r>
    <w:r>
      <w:rPr>
        <w:rFonts w:ascii="仿宋" w:hAnsi="仿宋" w:eastAsia="仿宋" w:cs="仿宋"/>
        <w:sz w:val="18"/>
        <w:szCs w:val="18"/>
      </w:rPr>
      <w:t xml:space="preserve"> 页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25019E"/>
    <w:multiLevelType w:val="singleLevel"/>
    <w:tmpl w:val="A125019E"/>
    <w:lvl w:ilvl="0" w:tentative="0">
      <w:start w:val="1"/>
      <w:numFmt w:val="decimal"/>
      <w:lvlText w:val="(%1)"/>
      <w:lvlJc w:val="left"/>
      <w:pPr>
        <w:ind w:left="1145" w:hanging="425"/>
      </w:pPr>
      <w:rPr>
        <w:rFonts w:hint="default"/>
      </w:rPr>
    </w:lvl>
  </w:abstractNum>
  <w:abstractNum w:abstractNumId="1">
    <w:nsid w:val="B5E306ED"/>
    <w:multiLevelType w:val="singleLevel"/>
    <w:tmpl w:val="B5E306ED"/>
    <w:lvl w:ilvl="0" w:tentative="0">
      <w:start w:val="1"/>
      <w:numFmt w:val="decimal"/>
      <w:lvlText w:val="%1."/>
      <w:lvlJc w:val="left"/>
      <w:pPr>
        <w:ind w:left="720" w:hanging="360"/>
      </w:pPr>
    </w:lvl>
  </w:abstractNum>
  <w:abstractNum w:abstractNumId="2">
    <w:nsid w:val="0053208E"/>
    <w:multiLevelType w:val="singleLevel"/>
    <w:tmpl w:val="0053208E"/>
    <w:lvl w:ilvl="0" w:tentative="0">
      <w:start w:val="1"/>
      <w:numFmt w:val="decimal"/>
      <w:lvlText w:val="%1."/>
      <w:lvlJc w:val="left"/>
      <w:pPr>
        <w:ind w:left="720" w:hanging="360"/>
      </w:pPr>
    </w:lvl>
  </w:abstractNum>
  <w:abstractNum w:abstractNumId="3">
    <w:nsid w:val="59ADCABA"/>
    <w:multiLevelType w:val="singleLevel"/>
    <w:tmpl w:val="59ADCABA"/>
    <w:lvl w:ilvl="0" w:tentative="0">
      <w:start w:val="1"/>
      <w:numFmt w:val="decimal"/>
      <w:lvlText w:val="%1."/>
      <w:lvlJc w:val="left"/>
      <w:pPr>
        <w:ind w:left="720" w:hanging="360"/>
      </w:pPr>
    </w:lvl>
  </w:abstractNum>
  <w:abstractNum w:abstractNumId="4">
    <w:nsid w:val="643AE052"/>
    <w:multiLevelType w:val="singleLevel"/>
    <w:tmpl w:val="643AE052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4"/>
  </w:num>
  <w:num w:numId="2">
    <w:abstractNumId w:val="2"/>
    <w:lvlOverride w:ilvl="0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</w:num>
  <w:num w:numId="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0001C53"/>
    <w:rsid w:val="003A79C2"/>
    <w:rsid w:val="00FC75A0"/>
    <w:rsid w:val="054D10C0"/>
    <w:rsid w:val="06597250"/>
    <w:rsid w:val="07C1458D"/>
    <w:rsid w:val="08FA38B6"/>
    <w:rsid w:val="097035F9"/>
    <w:rsid w:val="0A1E1193"/>
    <w:rsid w:val="0A4D453E"/>
    <w:rsid w:val="0ACC73A1"/>
    <w:rsid w:val="0B5459A6"/>
    <w:rsid w:val="0C336F3C"/>
    <w:rsid w:val="133B360A"/>
    <w:rsid w:val="18DF60A5"/>
    <w:rsid w:val="1A3A06B8"/>
    <w:rsid w:val="1C14797D"/>
    <w:rsid w:val="1C362480"/>
    <w:rsid w:val="1DBD0BAF"/>
    <w:rsid w:val="1F002EA8"/>
    <w:rsid w:val="20140D2A"/>
    <w:rsid w:val="218E1B7F"/>
    <w:rsid w:val="22C54AAF"/>
    <w:rsid w:val="23A22E33"/>
    <w:rsid w:val="2604573D"/>
    <w:rsid w:val="261311E2"/>
    <w:rsid w:val="27EF7E63"/>
    <w:rsid w:val="2B681C0A"/>
    <w:rsid w:val="2D4D587B"/>
    <w:rsid w:val="2D6E5C34"/>
    <w:rsid w:val="2DA60AE7"/>
    <w:rsid w:val="2E272455"/>
    <w:rsid w:val="2E8972C5"/>
    <w:rsid w:val="337A3E1D"/>
    <w:rsid w:val="33D87904"/>
    <w:rsid w:val="392773F6"/>
    <w:rsid w:val="39705276"/>
    <w:rsid w:val="39873EC3"/>
    <w:rsid w:val="40B732E0"/>
    <w:rsid w:val="40DA4D36"/>
    <w:rsid w:val="44060924"/>
    <w:rsid w:val="44B00A1B"/>
    <w:rsid w:val="44CC5F11"/>
    <w:rsid w:val="44F6627B"/>
    <w:rsid w:val="4607198A"/>
    <w:rsid w:val="46E2183E"/>
    <w:rsid w:val="486A0C38"/>
    <w:rsid w:val="49496A9F"/>
    <w:rsid w:val="4AC400D6"/>
    <w:rsid w:val="4E79234E"/>
    <w:rsid w:val="53F65A75"/>
    <w:rsid w:val="5805272B"/>
    <w:rsid w:val="5E3149F6"/>
    <w:rsid w:val="5E8343A9"/>
    <w:rsid w:val="5F297F7E"/>
    <w:rsid w:val="6264757B"/>
    <w:rsid w:val="66F00450"/>
    <w:rsid w:val="681D13CB"/>
    <w:rsid w:val="6A6D7E16"/>
    <w:rsid w:val="6F9C52CB"/>
    <w:rsid w:val="70AC7790"/>
    <w:rsid w:val="75EC0969"/>
    <w:rsid w:val="76AC6597"/>
    <w:rsid w:val="77A862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仿宋"/>
      <w:sz w:val="24"/>
      <w:szCs w:val="24"/>
    </w:rPr>
  </w:style>
  <w:style w:type="paragraph" w:styleId="2">
    <w:name w:val="heading 1"/>
    <w:next w:val="1"/>
    <w:qFormat/>
    <w:uiPriority w:val="0"/>
    <w:pPr>
      <w:spacing w:before="280" w:after="160"/>
      <w:outlineLvl w:val="0"/>
    </w:pPr>
    <w:rPr>
      <w:rFonts w:ascii="黑体" w:hAnsi="黑体" w:eastAsia="黑体" w:cs="黑体"/>
      <w:b/>
      <w:bCs/>
      <w:sz w:val="32"/>
      <w:szCs w:val="32"/>
    </w:rPr>
  </w:style>
  <w:style w:type="paragraph" w:styleId="3">
    <w:name w:val="heading 2"/>
    <w:next w:val="1"/>
    <w:qFormat/>
    <w:uiPriority w:val="0"/>
    <w:pPr>
      <w:spacing w:before="280" w:after="160"/>
      <w:outlineLvl w:val="1"/>
    </w:pPr>
    <w:rPr>
      <w:rFonts w:ascii="黑体" w:hAnsi="黑体" w:eastAsia="黑体" w:cs="黑体"/>
      <w:b/>
      <w:bCs/>
      <w:sz w:val="28"/>
      <w:szCs w:val="28"/>
    </w:rPr>
  </w:style>
  <w:style w:type="paragraph" w:styleId="4">
    <w:name w:val="heading 3"/>
    <w:next w:val="1"/>
    <w:qFormat/>
    <w:uiPriority w:val="0"/>
    <w:rPr>
      <w:rFonts w:ascii="仿宋" w:hAnsi="仿宋" w:eastAsia="仿宋" w:cs="仿宋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仿宋" w:hAnsi="仿宋" w:eastAsia="仿宋" w:cs="仿宋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rPr>
      <w:rFonts w:ascii="仿宋" w:hAnsi="仿宋" w:eastAsia="仿宋" w:cs="仿宋"/>
      <w:color w:val="2E74B5"/>
      <w:sz w:val="24"/>
      <w:szCs w:val="24"/>
    </w:rPr>
  </w:style>
  <w:style w:type="paragraph" w:styleId="7">
    <w:name w:val="heading 6"/>
    <w:next w:val="1"/>
    <w:qFormat/>
    <w:uiPriority w:val="0"/>
    <w:rPr>
      <w:rFonts w:ascii="仿宋" w:hAnsi="仿宋" w:eastAsia="仿宋" w:cs="仿宋"/>
      <w:color w:val="1F4D78"/>
      <w:sz w:val="24"/>
      <w:szCs w:val="24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9"/>
    <w:semiHidden/>
    <w:unhideWhenUsed/>
    <w:qFormat/>
    <w:uiPriority w:val="99"/>
    <w:pPr>
      <w:spacing w:after="0" w:line="240" w:lineRule="auto"/>
    </w:pPr>
    <w:rPr>
      <w:rFonts w:ascii="仿宋" w:hAnsi="仿宋" w:eastAsia="仿宋" w:cs="仿宋"/>
      <w:sz w:val="20"/>
      <w:szCs w:val="20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footnote text"/>
    <w:link w:val="18"/>
    <w:semiHidden/>
    <w:unhideWhenUsed/>
    <w:qFormat/>
    <w:uiPriority w:val="99"/>
    <w:pPr>
      <w:spacing w:after="0" w:line="240" w:lineRule="auto"/>
    </w:pPr>
    <w:rPr>
      <w:rFonts w:ascii="仿宋" w:hAnsi="仿宋" w:eastAsia="仿宋" w:cs="仿宋"/>
      <w:sz w:val="20"/>
      <w:szCs w:val="20"/>
    </w:rPr>
  </w:style>
  <w:style w:type="paragraph" w:styleId="11">
    <w:name w:val="Title"/>
    <w:qFormat/>
    <w:uiPriority w:val="0"/>
    <w:rPr>
      <w:rFonts w:ascii="仿宋" w:hAnsi="仿宋" w:eastAsia="仿宋" w:cs="仿宋"/>
      <w:sz w:val="56"/>
      <w:szCs w:val="56"/>
    </w:rPr>
  </w:style>
  <w:style w:type="character" w:styleId="14">
    <w:name w:val="endnote reference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563C1"/>
      <w:u w:val="single"/>
    </w:rPr>
  </w:style>
  <w:style w:type="character" w:styleId="16">
    <w:name w:val="footnote reference"/>
    <w:semiHidden/>
    <w:unhideWhenUsed/>
    <w:qFormat/>
    <w:uiPriority w:val="99"/>
    <w:rPr>
      <w:vertAlign w:val="superscript"/>
    </w:rPr>
  </w:style>
  <w:style w:type="paragraph" w:styleId="17">
    <w:name w:val="List Paragraph"/>
    <w:qFormat/>
    <w:uiPriority w:val="0"/>
    <w:rPr>
      <w:rFonts w:ascii="仿宋" w:hAnsi="仿宋" w:eastAsia="仿宋" w:cs="仿宋"/>
      <w:sz w:val="24"/>
      <w:szCs w:val="24"/>
    </w:rPr>
  </w:style>
  <w:style w:type="character" w:customStyle="1" w:styleId="18">
    <w:name w:val="Footnote Text Char"/>
    <w:link w:val="10"/>
    <w:semiHidden/>
    <w:unhideWhenUsed/>
    <w:qFormat/>
    <w:uiPriority w:val="99"/>
    <w:rPr>
      <w:sz w:val="20"/>
      <w:szCs w:val="20"/>
    </w:rPr>
  </w:style>
  <w:style w:type="character" w:customStyle="1" w:styleId="19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2031</Words>
  <Characters>2263</Characters>
  <TotalTime>4</TotalTime>
  <ScaleCrop>false</ScaleCrop>
  <LinksUpToDate>false</LinksUpToDate>
  <CharactersWithSpaces>2299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2026-08-13T10:38:00Z</dcterms:created>
  <dc:creator>Un-named</dc:creator>
  <cp:lastModifiedBy>c</cp:lastModifiedBy>
  <dcterms:modified xsi:type="dcterms:W3CDTF">2026-10-19T08:22:50Z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eyJoZGlkIjoiN2ViNjE2MjNhMmFiZDMwNDYzYTVkNWI2YjdkOWNiZjciLCJ1c2VySWQiOiIyNzk1ODYwMzUifQ==</vt:lpwstr>
  </property>
  <property fmtid="{D5CDD505-2E9C-101B-9397-08002B2CF9AE}" pid="3" name="KSOProductBuildVer">
    <vt:lpwstr>2052-12.1.0.29161</vt:lpwstr>
  </property>
  <property fmtid="{D5CDD505-2E9C-101B-9397-08002B2CF9AE}" pid="4" name="ICV">
    <vt:lpwstr>25103081A116482B86D1831F118EDB14_13</vt:lpwstr>
  </property>
</Properties>
</file>